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0F73E8" w14:textId="77777777" w:rsidR="003A512F" w:rsidRPr="003A512F" w:rsidRDefault="003A512F" w:rsidP="003A512F">
      <w:pPr>
        <w:spacing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0F7A78"/>
          <w:spacing w:val="90"/>
          <w:kern w:val="0"/>
          <w:sz w:val="15"/>
          <w:szCs w:val="15"/>
          <w14:ligatures w14:val="none"/>
        </w:rPr>
        <w:t>FINANCIAL PROTECTION</w:t>
      </w:r>
    </w:p>
    <w:p w14:paraId="53DE347E" w14:textId="45102024" w:rsidR="003A512F" w:rsidRPr="003A512F" w:rsidRDefault="003A512F" w:rsidP="003A512F">
      <w:pPr>
        <w:spacing w:after="260" w:line="62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0A1F3C"/>
          <w:kern w:val="0"/>
          <w:sz w:val="68"/>
          <w:szCs w:val="68"/>
          <w14:ligatures w14:val="none"/>
        </w:rPr>
        <w:t>Who suffers</w:t>
      </w:r>
      <w:r>
        <w:rPr>
          <w:rFonts w:ascii="Times New Roman" w:eastAsia="Cambria" w:hAnsi="Times New Roman" w:cs="Times New Roman"/>
          <w:b/>
          <w:bCs/>
          <w:color w:val="0A1F3C"/>
          <w:kern w:val="0"/>
          <w:sz w:val="68"/>
          <w:szCs w:val="68"/>
          <w14:ligatures w14:val="none"/>
        </w:rPr>
        <w:t xml:space="preserve"> </w:t>
      </w:r>
      <w:r w:rsidRPr="003A512F">
        <w:rPr>
          <w:rFonts w:ascii="Times New Roman" w:eastAsia="Cambria" w:hAnsi="Times New Roman" w:cs="Times New Roman"/>
          <w:i/>
          <w:iCs/>
          <w:color w:val="0F7A78"/>
          <w:kern w:val="0"/>
          <w:sz w:val="68"/>
          <w:szCs w:val="68"/>
          <w14:ligatures w14:val="none"/>
        </w:rPr>
        <w:t>most?</w:t>
      </w:r>
    </w:p>
    <w:p w14:paraId="0E909BDF" w14:textId="77777777" w:rsidR="003A512F" w:rsidRPr="003A512F" w:rsidRDefault="003A512F" w:rsidP="003A512F">
      <w:pPr>
        <w:spacing w:after="320" w:line="336"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4C5C66"/>
          <w:kern w:val="0"/>
          <w:sz w:val="26"/>
          <w:szCs w:val="26"/>
          <w14:ligatures w14:val="none"/>
        </w:rPr>
        <w:t>In Somalia, families pay for health care out of pocket at the moment they can least afford it. New analysis shows that the resulting hardship is not random. It is concentrated, patterned, and therefore targetable.</w:t>
      </w:r>
    </w:p>
    <w:p w14:paraId="289B199D" w14:textId="00DAFC12" w:rsidR="003A512F" w:rsidRPr="003A512F" w:rsidRDefault="00BD039A" w:rsidP="003A512F">
      <w:pPr>
        <w:pBdr>
          <w:top w:val="single" w:sz="6" w:space="10" w:color="D7DEE2"/>
        </w:pBdr>
        <w:spacing w:after="100" w:line="300" w:lineRule="auto"/>
        <w:rPr>
          <w:rFonts w:ascii="Times New Roman" w:eastAsia="Calibri" w:hAnsi="Times New Roman" w:cs="Times New Roman"/>
          <w:color w:val="4C5C66"/>
          <w:kern w:val="0"/>
          <w:sz w:val="17"/>
          <w:szCs w:val="17"/>
          <w14:ligatures w14:val="none"/>
        </w:rPr>
      </w:pPr>
      <w:r>
        <w:rPr>
          <mc:AlternateContent>
            <mc:Choice Requires="w16se">
              <w:rFonts w:ascii="Times New Roman" w:eastAsia="Calibri" w:hAnsi="Times New Roman" w:cs="Times New Roman"/>
            </mc:Choice>
            <mc:Fallback>
              <w:rFonts w:ascii="Apple Color Emoji" w:eastAsia="Apple Color Emoji" w:hAnsi="Apple Color Emoji" w:cs="Apple Color Emoji"/>
            </mc:Fallback>
          </mc:AlternateContent>
          <w:b/>
          <w:bCs/>
          <w:color w:val="12355B"/>
          <w:kern w:val="0"/>
          <w:sz w:val="19"/>
          <w:szCs w:val="19"/>
          <w14:ligatures w14:val="none"/>
        </w:rPr>
        <mc:AlternateContent>
          <mc:Choice Requires="w16se">
            <w16se:symEx w16se:font="Apple Color Emoji" w16se:char="270D"/>
          </mc:Choice>
          <mc:Fallback>
            <w:t>✍</w:t>
          </mc:Fallback>
        </mc:AlternateContent>
      </w:r>
      <w:r>
        <w:rPr>
          <w:rFonts w:ascii="Times New Roman" w:eastAsia="Calibri" w:hAnsi="Times New Roman" w:cs="Times New Roman"/>
          <w:b/>
          <w:bCs/>
          <w:color w:val="12355B"/>
          <w:kern w:val="0"/>
          <w:sz w:val="19"/>
          <w:szCs w:val="19"/>
          <w14:ligatures w14:val="none"/>
        </w:rPr>
        <w:t xml:space="preserve">️: </w:t>
      </w:r>
      <w:r w:rsidR="003A512F" w:rsidRPr="003A512F">
        <w:rPr>
          <w:rFonts w:ascii="Times New Roman" w:eastAsia="Calibri" w:hAnsi="Times New Roman" w:cs="Times New Roman"/>
          <w:b/>
          <w:bCs/>
          <w:color w:val="12355B"/>
          <w:kern w:val="0"/>
          <w:sz w:val="19"/>
          <w:szCs w:val="19"/>
          <w14:ligatures w14:val="none"/>
        </w:rPr>
        <w:t>Dr Abdulrazaq Yusuf Ahmed</w:t>
      </w:r>
      <w:r w:rsidR="003A512F" w:rsidRPr="003A512F">
        <w:rPr>
          <w:rFonts w:ascii="Times New Roman" w:eastAsia="Calibri" w:hAnsi="Times New Roman" w:cs="Times New Roman"/>
          <w:color w:val="4C5C66"/>
          <w:kern w:val="0"/>
          <w:sz w:val="19"/>
          <w:szCs w:val="19"/>
          <w14:ligatures w14:val="none"/>
        </w:rPr>
        <w:t xml:space="preserve">  ·  </w:t>
      </w:r>
    </w:p>
    <w:p w14:paraId="2E2B75F2" w14:textId="77777777" w:rsidR="00CA5EA7" w:rsidRDefault="00CA5EA7">
      <w:pPr>
        <w:spacing w:after="220" w:line="300" w:lineRule="auto"/>
        <w:rPr>
          <w:kern w:val="0"/>
          <w14:ligatures w14:val="none"/>
        </w:rPr>
      </w:pPr>
      <w:r>
        <w:rPr>
          <w:rFonts w:ascii="Times New Roman" w:hAnsi="Times New Roman"/>
          <w:b/>
          <w:bCs/>
          <w:color w:val="16222B"/>
        </w:rPr>
        <w:t>Imagine a pastoralist household three hours from the nearest clinic.</w:t>
      </w:r>
    </w:p>
    <w:p w14:paraId="22BC058E" w14:textId="77777777" w:rsidR="00CA5EA7" w:rsidRDefault="00CA5EA7">
      <w:pPr>
        <w:spacing w:after="220" w:line="300" w:lineRule="auto"/>
        <w:rPr>
          <w:kern w:val="0"/>
          <w14:ligatures w14:val="none"/>
        </w:rPr>
      </w:pPr>
      <w:r>
        <w:rPr>
          <w:rFonts w:ascii="Times New Roman" w:hAnsi="Times New Roman"/>
          <w:b/>
          <w:bCs/>
          <w:i/>
          <w:iCs/>
          <w:color w:val="16222B"/>
        </w:rPr>
        <w:t>A child develops a stubborn fever. The family weighs the cost of travel against the risk of delay, then goes. They pay for the consultation, medicines, tests, and transport home. To cover the bill, they sell a goat.</w:t>
      </w:r>
    </w:p>
    <w:p w14:paraId="1CDCC23E" w14:textId="77777777" w:rsidR="00CA5EA7" w:rsidRDefault="00CA5EA7">
      <w:pPr>
        <w:spacing w:after="200" w:line="300" w:lineRule="auto"/>
        <w:rPr>
          <w:kern w:val="0"/>
          <w14:ligatures w14:val="none"/>
        </w:rPr>
      </w:pPr>
      <w:r>
        <w:rPr>
          <w:rFonts w:ascii="Times New Roman" w:hAnsi="Times New Roman"/>
          <w:color w:val="16222B"/>
          <w:sz w:val="21"/>
          <w:szCs w:val="21"/>
        </w:rPr>
        <w:t>The child recovers, but the household does not. The goat was not a luxury; it was a productive asset that helped generate next year’s income. The illness lasted a week. Its economic shadow lasts years.</w:t>
      </w:r>
    </w:p>
    <w:p w14:paraId="0D901661" w14:textId="77777777" w:rsidR="00CA5EA7" w:rsidRDefault="00CA5EA7">
      <w:pPr>
        <w:spacing w:after="200" w:line="300" w:lineRule="auto"/>
        <w:rPr>
          <w:kern w:val="0"/>
          <w14:ligatures w14:val="none"/>
        </w:rPr>
      </w:pPr>
      <w:r>
        <w:rPr>
          <w:rFonts w:ascii="Times New Roman" w:hAnsi="Times New Roman"/>
          <w:color w:val="16222B"/>
          <w:sz w:val="21"/>
          <w:szCs w:val="21"/>
        </w:rPr>
        <w:t xml:space="preserve">This is health financing when risk is barely pooled. In Somalia, out-of-pocket payments make up roughly </w:t>
      </w:r>
      <w:r>
        <w:rPr>
          <w:rFonts w:ascii="Times New Roman" w:hAnsi="Times New Roman"/>
          <w:b/>
          <w:bCs/>
          <w:color w:val="0A1F3C"/>
          <w:sz w:val="21"/>
          <w:szCs w:val="21"/>
        </w:rPr>
        <w:t>45% of current health expenditure</w:t>
      </w:r>
      <w:r>
        <w:rPr>
          <w:rFonts w:ascii="Times New Roman" w:hAnsi="Times New Roman"/>
          <w:color w:val="16222B"/>
          <w:sz w:val="21"/>
          <w:szCs w:val="21"/>
        </w:rPr>
        <w:t>, compared with a global average near 18.6%. Formal insurance reaches only a small, mostly urban minority. For nearly everyone else, illness is paid for in cash, at the counter, on the day care is needed.</w:t>
      </w:r>
    </w:p>
    <w:p w14:paraId="31508937" w14:textId="77777777" w:rsidR="00CA5EA7" w:rsidRDefault="00CA5EA7">
      <w:pPr>
        <w:spacing w:after="320" w:line="300" w:lineRule="auto"/>
        <w:rPr>
          <w:kern w:val="0"/>
          <w14:ligatures w14:val="none"/>
        </w:rPr>
      </w:pPr>
      <w:r>
        <w:rPr>
          <w:rFonts w:ascii="Times New Roman" w:hAnsi="Times New Roman"/>
          <w:color w:val="16222B"/>
          <w:sz w:val="21"/>
          <w:szCs w:val="21"/>
        </w:rPr>
        <w:t xml:space="preserve">We know this from national accounts. What we have not known precisely is </w:t>
      </w:r>
      <w:r>
        <w:rPr>
          <w:rFonts w:ascii="Times New Roman" w:hAnsi="Times New Roman"/>
          <w:i/>
          <w:iCs/>
          <w:color w:val="16222B"/>
          <w:sz w:val="21"/>
          <w:szCs w:val="21"/>
        </w:rPr>
        <w:t>who</w:t>
      </w:r>
      <w:r>
        <w:rPr>
          <w:rFonts w:ascii="Times New Roman" w:hAnsi="Times New Roman"/>
          <w:color w:val="16222B"/>
          <w:sz w:val="21"/>
          <w:szCs w:val="21"/>
        </w:rPr>
        <w:t xml:space="preserve"> is being crushed by it. This analysis was built to answer that question.</w:t>
      </w:r>
    </w:p>
    <w:tbl>
      <w:tblPr>
        <w:tblW w:w="9500" w:type="dxa"/>
        <w:tblInd w:w="3" w:type="dxa"/>
        <w:tblCellMar>
          <w:left w:w="0" w:type="dxa"/>
          <w:right w:w="0" w:type="dxa"/>
        </w:tblCellMar>
        <w:tblLook w:val="04A0" w:firstRow="1" w:lastRow="0" w:firstColumn="1" w:lastColumn="0" w:noHBand="0" w:noVBand="1"/>
      </w:tblPr>
      <w:tblGrid>
        <w:gridCol w:w="26"/>
        <w:gridCol w:w="9448"/>
        <w:gridCol w:w="26"/>
      </w:tblGrid>
      <w:tr w:rsidR="007C05A1" w14:paraId="38297FA3" w14:textId="77777777">
        <w:tc>
          <w:tcPr>
            <w:tcW w:w="9500" w:type="dxa"/>
            <w:gridSpan w:val="3"/>
            <w:tcBorders>
              <w:top w:val="nil"/>
              <w:left w:val="single" w:sz="18" w:space="0" w:color="C9A227"/>
              <w:bottom w:val="nil"/>
              <w:right w:val="nil"/>
            </w:tcBorders>
            <w:shd w:val="clear" w:color="auto" w:fill="FBF4DC"/>
            <w:tcMar>
              <w:top w:w="200" w:type="dxa"/>
              <w:left w:w="260" w:type="dxa"/>
              <w:bottom w:w="200" w:type="dxa"/>
              <w:right w:w="260" w:type="dxa"/>
            </w:tcMar>
            <w:hideMark/>
          </w:tcPr>
          <w:p w14:paraId="268721EA" w14:textId="77777777" w:rsidR="007C05A1" w:rsidRDefault="007C05A1">
            <w:pPr>
              <w:spacing w:after="100" w:line="300" w:lineRule="auto"/>
              <w:rPr>
                <w:kern w:val="0"/>
                <w14:ligatures w14:val="none"/>
              </w:rPr>
            </w:pPr>
            <w:r>
              <w:rPr>
                <w:rFonts w:ascii="Times New Roman" w:hAnsi="Times New Roman"/>
                <w:b/>
                <w:bCs/>
                <w:color w:val="7A5F0F"/>
                <w:spacing w:val="60"/>
                <w:sz w:val="15"/>
                <w:szCs w:val="15"/>
              </w:rPr>
              <w:t>KEY MESSAGE</w:t>
            </w:r>
          </w:p>
          <w:p w14:paraId="292CD664" w14:textId="77777777" w:rsidR="007C05A1" w:rsidRDefault="007C05A1">
            <w:pPr>
              <w:spacing w:after="0" w:line="300" w:lineRule="auto"/>
            </w:pPr>
            <w:r>
              <w:rPr>
                <w:rFonts w:ascii="Times New Roman" w:hAnsi="Times New Roman"/>
                <w:b/>
                <w:bCs/>
                <w:color w:val="0A1F3C"/>
                <w:sz w:val="22"/>
                <w:szCs w:val="22"/>
              </w:rPr>
              <w:t>In Somalia, financial protection must target the households most exposed to out-of-pocket shocks: displaced families, mobile pastoralists, the poorest households, and those living with chronic illness.</w:t>
            </w:r>
          </w:p>
        </w:tc>
      </w:tr>
      <w:tr w:rsidR="00BD08D3" w14:paraId="29F5981F" w14:textId="77777777">
        <w:trPr>
          <w:gridBefore w:val="1"/>
          <w:wBefore w:w="26" w:type="dxa"/>
        </w:trPr>
        <w:tc>
          <w:tcPr>
            <w:tcW w:w="9500" w:type="dxa"/>
            <w:gridSpan w:val="2"/>
            <w:tcBorders>
              <w:top w:val="nil"/>
              <w:left w:val="single" w:sz="18" w:space="0" w:color="C9A227"/>
              <w:bottom w:val="nil"/>
              <w:right w:val="nil"/>
            </w:tcBorders>
            <w:tcMar>
              <w:top w:w="160" w:type="dxa"/>
              <w:left w:w="260" w:type="dxa"/>
              <w:bottom w:w="160" w:type="dxa"/>
              <w:right w:w="120" w:type="dxa"/>
            </w:tcMar>
            <w:hideMark/>
          </w:tcPr>
          <w:p w14:paraId="0A270B91" w14:textId="77777777" w:rsidR="007C05A1" w:rsidRDefault="007C05A1">
            <w:pPr>
              <w:spacing w:after="320" w:line="300" w:lineRule="auto"/>
              <w:rPr>
                <w:kern w:val="0"/>
                <w14:ligatures w14:val="none"/>
              </w:rPr>
            </w:pPr>
          </w:p>
          <w:p w14:paraId="44D7E83F" w14:textId="77777777" w:rsidR="00BD08D3" w:rsidRDefault="00BD08D3">
            <w:pPr>
              <w:spacing w:after="0" w:line="300" w:lineRule="auto"/>
              <w:rPr>
                <w:kern w:val="0"/>
                <w14:ligatures w14:val="none"/>
              </w:rPr>
            </w:pPr>
            <w:r>
              <w:rPr>
                <w:rFonts w:ascii="Times New Roman" w:hAnsi="Times New Roman"/>
                <w:i/>
                <w:iCs/>
                <w:color w:val="12355B"/>
                <w:sz w:val="26"/>
                <w:szCs w:val="26"/>
              </w:rPr>
              <w:t>Financial protection begins when care is needed most, not after a household has already sold its future to pay for it.</w:t>
            </w:r>
          </w:p>
        </w:tc>
      </w:tr>
      <w:tr w:rsidR="003A512F" w:rsidRPr="003A512F" w14:paraId="75AA46CB" w14:textId="77777777" w:rsidTr="00B81B5F">
        <w:tblPrEx>
          <w:tblCellMar>
            <w:left w:w="10" w:type="dxa"/>
            <w:right w:w="10" w:type="dxa"/>
          </w:tblCellMar>
        </w:tblPrEx>
        <w:trPr>
          <w:gridAfter w:val="1"/>
          <w:wAfter w:w="26" w:type="dxa"/>
          <w:cantSplit/>
        </w:trPr>
        <w:tc>
          <w:tcPr>
            <w:tcW w:w="9500" w:type="dxa"/>
            <w:gridSpan w:val="2"/>
            <w:shd w:val="clear" w:color="auto" w:fill="0A1F3C"/>
            <w:tcMar>
              <w:top w:w="200" w:type="dxa"/>
              <w:left w:w="260" w:type="dxa"/>
              <w:bottom w:w="200" w:type="dxa"/>
              <w:right w:w="260" w:type="dxa"/>
            </w:tcMar>
          </w:tcPr>
          <w:p w14:paraId="347B35E1" w14:textId="77777777" w:rsidR="00BD08D3" w:rsidRDefault="00BD08D3">
            <w:pPr>
              <w:spacing w:after="360" w:line="300" w:lineRule="auto"/>
              <w:rPr>
                <w:kern w:val="0"/>
                <w14:ligatures w14:val="none"/>
              </w:rPr>
            </w:pPr>
          </w:p>
          <w:p w14:paraId="5C1BBC45" w14:textId="77777777" w:rsidR="003A512F" w:rsidRPr="003A512F" w:rsidRDefault="003A512F" w:rsidP="003A512F">
            <w:pPr>
              <w:keepNext/>
              <w:spacing w:after="7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HEADLINE FINDING</w:t>
            </w:r>
          </w:p>
          <w:p w14:paraId="2F128CA4" w14:textId="77777777" w:rsidR="003A512F" w:rsidRPr="003A512F" w:rsidRDefault="003A512F" w:rsidP="003A512F">
            <w:pPr>
              <w:keepNext/>
              <w:spacing w:after="0" w:line="26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FFFFFF"/>
                <w:kern w:val="0"/>
                <w:sz w:val="25"/>
                <w:szCs w:val="25"/>
                <w14:ligatures w14:val="none"/>
              </w:rPr>
              <w:t>One household in four is spending catastrophically on health care.</w:t>
            </w:r>
          </w:p>
        </w:tc>
      </w:tr>
      <w:tr w:rsidR="003A512F" w:rsidRPr="003A512F" w14:paraId="0E310915" w14:textId="77777777" w:rsidTr="00B81B5F">
        <w:tblPrEx>
          <w:tblCellMar>
            <w:left w:w="10" w:type="dxa"/>
            <w:right w:w="10" w:type="dxa"/>
          </w:tblCellMar>
        </w:tblPrEx>
        <w:trPr>
          <w:gridAfter w:val="1"/>
          <w:wAfter w:w="26" w:type="dxa"/>
          <w:cantSplit/>
        </w:trPr>
        <w:tc>
          <w:tcPr>
            <w:tcW w:w="9500" w:type="dxa"/>
            <w:gridSpan w:val="2"/>
            <w:shd w:val="clear" w:color="auto" w:fill="F2F6F7"/>
            <w:tcMar>
              <w:top w:w="240" w:type="dxa"/>
              <w:left w:w="260" w:type="dxa"/>
              <w:bottom w:w="220" w:type="dxa"/>
              <w:right w:w="260" w:type="dxa"/>
            </w:tcMar>
          </w:tcPr>
          <w:p w14:paraId="206AC412"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Health spending ≥ 10% of total household consumption</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0F7A78"/>
                <w:kern w:val="0"/>
                <w:sz w:val="19"/>
                <w:szCs w:val="19"/>
                <w14:ligatures w14:val="none"/>
              </w:rPr>
              <w:t>25.0%</w:t>
            </w:r>
          </w:p>
          <w:p w14:paraId="3AF0B6CA"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1AA3A0"/>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3FA12B77" w14:textId="77777777" w:rsidR="003A512F" w:rsidRPr="003A512F" w:rsidRDefault="003A512F" w:rsidP="003A512F">
            <w:pPr>
              <w:spacing w:after="120" w:line="300" w:lineRule="auto"/>
              <w:rPr>
                <w:rFonts w:ascii="Times New Roman" w:eastAsia="Cambria" w:hAnsi="Times New Roman" w:cs="Times New Roman"/>
                <w:color w:val="16222B"/>
                <w:kern w:val="0"/>
                <w:sz w:val="21"/>
                <w:szCs w:val="21"/>
                <w14:ligatures w14:val="none"/>
              </w:rPr>
            </w:pPr>
          </w:p>
          <w:p w14:paraId="250D4408"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Health spending ≥ 40% of capacity to pay</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0F7A78"/>
                <w:kern w:val="0"/>
                <w:sz w:val="19"/>
                <w:szCs w:val="19"/>
                <w14:ligatures w14:val="none"/>
              </w:rPr>
              <w:t>25.6%</w:t>
            </w:r>
          </w:p>
          <w:p w14:paraId="08F7AB8B"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1AA3A0"/>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207CB5A9" w14:textId="77777777" w:rsidR="003A512F" w:rsidRPr="003A512F" w:rsidRDefault="003A512F" w:rsidP="003A512F">
            <w:pPr>
              <w:spacing w:after="120" w:line="300" w:lineRule="auto"/>
              <w:rPr>
                <w:rFonts w:ascii="Times New Roman" w:eastAsia="Cambria" w:hAnsi="Times New Roman" w:cs="Times New Roman"/>
                <w:color w:val="16222B"/>
                <w:kern w:val="0"/>
                <w:sz w:val="21"/>
                <w:szCs w:val="21"/>
                <w14:ligatures w14:val="none"/>
              </w:rPr>
            </w:pPr>
          </w:p>
          <w:p w14:paraId="6B51D6C7"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Health spending ≥ 25% of total consumption (severe)</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7A5F0F"/>
                <w:kern w:val="0"/>
                <w:sz w:val="19"/>
                <w:szCs w:val="19"/>
                <w14:ligatures w14:val="none"/>
              </w:rPr>
              <w:t>7.8%</w:t>
            </w:r>
          </w:p>
          <w:p w14:paraId="3DA98DF3"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C9A227"/>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2CB76E48" w14:textId="77777777" w:rsidR="003A512F" w:rsidRPr="003A512F" w:rsidRDefault="003A512F" w:rsidP="003A512F">
            <w:pPr>
              <w:spacing w:after="120" w:line="300" w:lineRule="auto"/>
              <w:rPr>
                <w:rFonts w:ascii="Times New Roman" w:eastAsia="Cambria" w:hAnsi="Times New Roman" w:cs="Times New Roman"/>
                <w:color w:val="16222B"/>
                <w:kern w:val="0"/>
                <w:sz w:val="21"/>
                <w:szCs w:val="21"/>
                <w14:ligatures w14:val="none"/>
              </w:rPr>
            </w:pPr>
          </w:p>
          <w:p w14:paraId="140E932E" w14:textId="77777777" w:rsidR="003A512F" w:rsidRPr="003A512F" w:rsidRDefault="003A512F" w:rsidP="003A512F">
            <w:pPr>
              <w:pBdr>
                <w:top w:val="single" w:sz="4" w:space="8" w:color="D7DEE2"/>
              </w:pBdr>
              <w:spacing w:before="100" w:after="0" w:line="24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i/>
                <w:iCs/>
                <w:color w:val="4C5C66"/>
                <w:kern w:val="0"/>
                <w:sz w:val="16"/>
                <w:szCs w:val="16"/>
                <w14:ligatures w14:val="none"/>
              </w:rPr>
              <w:t>Bars scaled to 40%. Estimates from a calibrated model of 1,350 Somali households across urban, rural, nomadic and displacement settings.</w:t>
            </w:r>
          </w:p>
        </w:tc>
      </w:tr>
    </w:tbl>
    <w:p w14:paraId="0A36150B" w14:textId="77777777" w:rsidR="003A512F" w:rsidRPr="003A512F" w:rsidRDefault="003A512F" w:rsidP="003A512F">
      <w:pPr>
        <w:spacing w:after="360" w:line="300" w:lineRule="auto"/>
        <w:rPr>
          <w:rFonts w:ascii="Times New Roman" w:eastAsia="Cambria" w:hAnsi="Times New Roman" w:cs="Times New Roman"/>
          <w:color w:val="16222B"/>
          <w:kern w:val="0"/>
          <w:sz w:val="21"/>
          <w:szCs w:val="21"/>
          <w14:ligatures w14:val="none"/>
        </w:rPr>
      </w:pPr>
    </w:p>
    <w:p w14:paraId="57D1F321" w14:textId="77777777" w:rsidR="003A512F" w:rsidRPr="003A512F" w:rsidRDefault="003A512F" w:rsidP="003A512F">
      <w:pPr>
        <w:spacing w:before="360" w:after="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THE INSTRUMENTS</w:t>
      </w:r>
    </w:p>
    <w:p w14:paraId="2C69124E" w14:textId="77777777" w:rsidR="003A512F" w:rsidRPr="003A512F" w:rsidRDefault="003A512F" w:rsidP="003A512F">
      <w:pPr>
        <w:spacing w:after="220" w:line="300" w:lineRule="auto"/>
        <w:outlineLvl w:val="0"/>
        <w:rPr>
          <w:rFonts w:ascii="Times New Roman" w:eastAsia="Cambria" w:hAnsi="Times New Roman" w:cs="Times New Roman"/>
          <w:b/>
          <w:bCs/>
          <w:color w:val="0A1F3C"/>
          <w:kern w:val="0"/>
          <w:sz w:val="30"/>
          <w:szCs w:val="30"/>
          <w14:ligatures w14:val="none"/>
        </w:rPr>
      </w:pPr>
      <w:r w:rsidRPr="003A512F">
        <w:rPr>
          <w:rFonts w:ascii="Times New Roman" w:eastAsia="Cambria" w:hAnsi="Times New Roman" w:cs="Times New Roman"/>
          <w:b/>
          <w:bCs/>
          <w:color w:val="0A1F3C"/>
          <w:kern w:val="0"/>
          <w:sz w:val="30"/>
          <w:szCs w:val="30"/>
          <w14:ligatures w14:val="none"/>
        </w:rPr>
        <w:t>Two rulers, one uncomfortable answer</w:t>
      </w:r>
    </w:p>
    <w:p w14:paraId="55F00197" w14:textId="77777777" w:rsidR="003A512F" w:rsidRPr="003A512F" w:rsidRDefault="003A512F" w:rsidP="003A512F">
      <w:pPr>
        <w:spacing w:after="2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There are two accepted ways to decide when a health bill has become a catastrophe, and they answer slightly different questions.</w:t>
      </w:r>
    </w:p>
    <w:p w14:paraId="7379F417" w14:textId="77777777" w:rsidR="003A512F" w:rsidRPr="003A512F" w:rsidRDefault="003A512F" w:rsidP="003A512F">
      <w:pPr>
        <w:spacing w:after="2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 xml:space="preserve">The </w:t>
      </w:r>
      <w:r w:rsidRPr="003A512F">
        <w:rPr>
          <w:rFonts w:ascii="Times New Roman" w:eastAsia="Cambria" w:hAnsi="Times New Roman" w:cs="Times New Roman"/>
          <w:b/>
          <w:bCs/>
          <w:color w:val="0A1F3C"/>
          <w:kern w:val="0"/>
          <w:sz w:val="21"/>
          <w:szCs w:val="21"/>
          <w14:ligatures w14:val="none"/>
        </w:rPr>
        <w:t>budget-share ruler</w:t>
      </w:r>
      <w:r w:rsidRPr="003A512F">
        <w:rPr>
          <w:rFonts w:ascii="Times New Roman" w:eastAsia="Cambria" w:hAnsi="Times New Roman" w:cs="Times New Roman"/>
          <w:color w:val="16222B"/>
          <w:kern w:val="0"/>
          <w:sz w:val="21"/>
          <w:szCs w:val="21"/>
          <w14:ligatures w14:val="none"/>
        </w:rPr>
        <w:t xml:space="preserve"> asks what proportion of everything a household spends goes to health. Cross 10% and you are in trouble; cross 25% and you are in serious trouble. It is blunt, transparent, and internationally comparable — which is why it dominates global monitoring.</w:t>
      </w:r>
    </w:p>
    <w:p w14:paraId="28960853" w14:textId="77777777" w:rsidR="003A512F" w:rsidRPr="003A512F" w:rsidRDefault="003A512F" w:rsidP="003A512F">
      <w:pPr>
        <w:spacing w:after="2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 xml:space="preserve">The </w:t>
      </w:r>
      <w:r w:rsidRPr="003A512F">
        <w:rPr>
          <w:rFonts w:ascii="Times New Roman" w:eastAsia="Cambria" w:hAnsi="Times New Roman" w:cs="Times New Roman"/>
          <w:b/>
          <w:bCs/>
          <w:color w:val="0A1F3C"/>
          <w:kern w:val="0"/>
          <w:sz w:val="21"/>
          <w:szCs w:val="21"/>
          <w14:ligatures w14:val="none"/>
        </w:rPr>
        <w:t>capacity-to-pay ruler</w:t>
      </w:r>
      <w:r w:rsidRPr="003A512F">
        <w:rPr>
          <w:rFonts w:ascii="Times New Roman" w:eastAsia="Cambria" w:hAnsi="Times New Roman" w:cs="Times New Roman"/>
          <w:color w:val="16222B"/>
          <w:kern w:val="0"/>
          <w:sz w:val="21"/>
          <w:szCs w:val="21"/>
          <w14:ligatures w14:val="none"/>
        </w:rPr>
        <w:t xml:space="preserve"> asks a sharper question: once a family has fed itself, what is left, and how much of </w:t>
      </w:r>
      <w:r w:rsidRPr="003A512F">
        <w:rPr>
          <w:rFonts w:ascii="Times New Roman" w:eastAsia="Cambria" w:hAnsi="Times New Roman" w:cs="Times New Roman"/>
          <w:i/>
          <w:iCs/>
          <w:color w:val="16222B"/>
          <w:kern w:val="0"/>
          <w:sz w:val="21"/>
          <w:szCs w:val="21"/>
          <w14:ligatures w14:val="none"/>
        </w:rPr>
        <w:t>that</w:t>
      </w:r>
      <w:r w:rsidRPr="003A512F">
        <w:rPr>
          <w:rFonts w:ascii="Times New Roman" w:eastAsia="Cambria" w:hAnsi="Times New Roman" w:cs="Times New Roman"/>
          <w:color w:val="16222B"/>
          <w:kern w:val="0"/>
          <w:sz w:val="21"/>
          <w:szCs w:val="21"/>
          <w14:ligatures w14:val="none"/>
        </w:rPr>
        <w:t xml:space="preserve"> does health consume? Food is not discretionary. For a household spending three-quarters of its income on staples, a bill that looks modest against total consumption can wipe out everything else — the school fees, the rent, the small buffer that separates coping from collapse. The conventional trigger is 40% of what remains after food.</w:t>
      </w:r>
    </w:p>
    <w:p w14:paraId="1ECA1645" w14:textId="77777777" w:rsidR="003A512F" w:rsidRPr="003A512F" w:rsidRDefault="003A512F" w:rsidP="003A512F">
      <w:pPr>
        <w:spacing w:after="30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Poor households often look less exposed on the first ruler and far more exposed on the second. In Somalia, the two rulers converge at the national level — 25.0% and 25.6% — and that convergence is itself the finding. Health payments are not merely large relative to household budgets. They are devastating relative to the narrow margin households actually control.</w:t>
      </w:r>
    </w:p>
    <w:tbl>
      <w:tblPr>
        <w:tblW w:w="9500" w:type="dxa"/>
        <w:tblInd w:w="3" w:type="dxa"/>
        <w:tblCellMar>
          <w:left w:w="10" w:type="dxa"/>
          <w:right w:w="10" w:type="dxa"/>
        </w:tblCellMar>
        <w:tblLook w:val="04A0" w:firstRow="1" w:lastRow="0" w:firstColumn="1" w:lastColumn="0" w:noHBand="0" w:noVBand="1"/>
      </w:tblPr>
      <w:tblGrid>
        <w:gridCol w:w="9500"/>
      </w:tblGrid>
      <w:tr w:rsidR="003A512F" w:rsidRPr="003A512F" w14:paraId="2A3B47C3" w14:textId="77777777" w:rsidTr="00B81B5F">
        <w:tc>
          <w:tcPr>
            <w:tcW w:w="9500" w:type="dxa"/>
            <w:tcBorders>
              <w:left w:val="single" w:sz="18" w:space="0" w:color="C9A227"/>
            </w:tcBorders>
            <w:tcMar>
              <w:top w:w="160" w:type="dxa"/>
              <w:left w:w="260" w:type="dxa"/>
              <w:bottom w:w="160" w:type="dxa"/>
              <w:right w:w="120" w:type="dxa"/>
            </w:tcMar>
          </w:tcPr>
          <w:p w14:paraId="49C51ECC"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i/>
                <w:iCs/>
                <w:color w:val="12355B"/>
                <w:kern w:val="0"/>
                <w:sz w:val="26"/>
                <w:szCs w:val="26"/>
                <w14:ligatures w14:val="none"/>
              </w:rPr>
              <w:t>The two measures agreeing is not reassurance. It means the burden is heavy by any definition you choose.</w:t>
            </w:r>
          </w:p>
        </w:tc>
      </w:tr>
    </w:tbl>
    <w:p w14:paraId="3F3CBA8A" w14:textId="77777777" w:rsidR="003A512F" w:rsidRPr="003A512F" w:rsidRDefault="003A512F" w:rsidP="003A512F">
      <w:pPr>
        <w:spacing w:after="340" w:line="300" w:lineRule="auto"/>
        <w:rPr>
          <w:rFonts w:ascii="Times New Roman" w:eastAsia="Cambria" w:hAnsi="Times New Roman" w:cs="Times New Roman"/>
          <w:color w:val="16222B"/>
          <w:kern w:val="0"/>
          <w:sz w:val="21"/>
          <w:szCs w:val="21"/>
          <w14:ligatures w14:val="none"/>
        </w:rPr>
      </w:pPr>
    </w:p>
    <w:p w14:paraId="17CD0A8A" w14:textId="77777777" w:rsidR="003A512F" w:rsidRPr="003A512F" w:rsidRDefault="003A512F" w:rsidP="003A512F">
      <w:pPr>
        <w:spacing w:before="360" w:after="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GEOGRAPHY</w:t>
      </w:r>
    </w:p>
    <w:p w14:paraId="301A11C5" w14:textId="77777777" w:rsidR="003A512F" w:rsidRPr="003A512F" w:rsidRDefault="003A512F" w:rsidP="003A512F">
      <w:pPr>
        <w:spacing w:after="220" w:line="300" w:lineRule="auto"/>
        <w:outlineLvl w:val="0"/>
        <w:rPr>
          <w:rFonts w:ascii="Times New Roman" w:eastAsia="Cambria" w:hAnsi="Times New Roman" w:cs="Times New Roman"/>
          <w:b/>
          <w:bCs/>
          <w:color w:val="0A1F3C"/>
          <w:kern w:val="0"/>
          <w:sz w:val="30"/>
          <w:szCs w:val="30"/>
          <w14:ligatures w14:val="none"/>
        </w:rPr>
      </w:pPr>
      <w:r w:rsidRPr="003A512F">
        <w:rPr>
          <w:rFonts w:ascii="Times New Roman" w:eastAsia="Cambria" w:hAnsi="Times New Roman" w:cs="Times New Roman"/>
          <w:b/>
          <w:bCs/>
          <w:color w:val="0A1F3C"/>
          <w:kern w:val="0"/>
          <w:sz w:val="30"/>
          <w:szCs w:val="30"/>
          <w14:ligatures w14:val="none"/>
        </w:rPr>
        <w:t>Hardship has an address</w:t>
      </w:r>
    </w:p>
    <w:p w14:paraId="732890E6" w14:textId="77777777" w:rsidR="003A512F" w:rsidRPr="003A512F" w:rsidRDefault="003A512F" w:rsidP="003A512F">
      <w:pPr>
        <w:spacing w:after="30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The national average is the least useful number in this study. Once disaggregated, a clear gradient appears, running from the city outward to the settlements and grazing routes.</w:t>
      </w:r>
    </w:p>
    <w:tbl>
      <w:tblPr>
        <w:tblW w:w="9500" w:type="dxa"/>
        <w:tblCellMar>
          <w:left w:w="10" w:type="dxa"/>
          <w:right w:w="10" w:type="dxa"/>
        </w:tblCellMar>
        <w:tblLook w:val="04A0" w:firstRow="1" w:lastRow="0" w:firstColumn="1" w:lastColumn="0" w:noHBand="0" w:noVBand="1"/>
      </w:tblPr>
      <w:tblGrid>
        <w:gridCol w:w="9500"/>
      </w:tblGrid>
      <w:tr w:rsidR="003A512F" w:rsidRPr="003A512F" w14:paraId="234405E0" w14:textId="77777777" w:rsidTr="00B81B5F">
        <w:trPr>
          <w:cantSplit/>
        </w:trPr>
        <w:tc>
          <w:tcPr>
            <w:tcW w:w="9500" w:type="dxa"/>
            <w:shd w:val="clear" w:color="auto" w:fill="0A1F3C"/>
            <w:tcMar>
              <w:top w:w="200" w:type="dxa"/>
              <w:left w:w="260" w:type="dxa"/>
              <w:bottom w:w="200" w:type="dxa"/>
              <w:right w:w="260" w:type="dxa"/>
            </w:tcMar>
          </w:tcPr>
          <w:p w14:paraId="764BBBB1" w14:textId="77777777" w:rsidR="003A512F" w:rsidRPr="003A512F" w:rsidRDefault="003A512F" w:rsidP="003A512F">
            <w:pPr>
              <w:keepNext/>
              <w:spacing w:after="7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RESIDENCE GRADIENT</w:t>
            </w:r>
          </w:p>
          <w:p w14:paraId="526C63F8" w14:textId="77777777" w:rsidR="003A512F" w:rsidRPr="003A512F" w:rsidRDefault="003A512F" w:rsidP="003A512F">
            <w:pPr>
              <w:keepNext/>
              <w:spacing w:after="0" w:line="26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FFFFFF"/>
                <w:kern w:val="0"/>
                <w:sz w:val="25"/>
                <w:szCs w:val="25"/>
                <w14:ligatures w14:val="none"/>
              </w:rPr>
              <w:t>Catastrophic spending doubles between the city and the camp.</w:t>
            </w:r>
          </w:p>
        </w:tc>
      </w:tr>
      <w:tr w:rsidR="003A512F" w:rsidRPr="003A512F" w14:paraId="4503FCE6" w14:textId="77777777" w:rsidTr="00B81B5F">
        <w:trPr>
          <w:cantSplit/>
        </w:trPr>
        <w:tc>
          <w:tcPr>
            <w:tcW w:w="9500" w:type="dxa"/>
            <w:shd w:val="clear" w:color="auto" w:fill="F2F6F7"/>
            <w:tcMar>
              <w:top w:w="240" w:type="dxa"/>
              <w:left w:w="260" w:type="dxa"/>
              <w:bottom w:w="220" w:type="dxa"/>
              <w:right w:w="260" w:type="dxa"/>
            </w:tcMar>
          </w:tcPr>
          <w:p w14:paraId="03A2219E"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Urban</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0F7A78"/>
                <w:kern w:val="0"/>
                <w:sz w:val="19"/>
                <w:szCs w:val="19"/>
                <w14:ligatures w14:val="none"/>
              </w:rPr>
              <w:t>18.5%</w:t>
            </w:r>
          </w:p>
          <w:p w14:paraId="7DF0698F"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1AA3A0"/>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0B0E97E0" w14:textId="77777777" w:rsidR="003A512F" w:rsidRPr="003A512F" w:rsidRDefault="003A512F" w:rsidP="003A512F">
            <w:pPr>
              <w:spacing w:after="18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Capacity-to-pay measure 16.3%  ·  mean burden 6.1% of consumption</w:t>
            </w:r>
          </w:p>
          <w:p w14:paraId="49E528B1"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Rural agro-pastoralist</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0F7A78"/>
                <w:kern w:val="0"/>
                <w:sz w:val="19"/>
                <w:szCs w:val="19"/>
                <w14:ligatures w14:val="none"/>
              </w:rPr>
              <w:t>23.7%</w:t>
            </w:r>
          </w:p>
          <w:p w14:paraId="7756F09B"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1AA3A0"/>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5D595022" w14:textId="77777777" w:rsidR="003A512F" w:rsidRPr="003A512F" w:rsidRDefault="003A512F" w:rsidP="003A512F">
            <w:pPr>
              <w:spacing w:after="18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Capacity-to-pay measure 23.1%  ·  mean burden 8.9%</w:t>
            </w:r>
          </w:p>
          <w:p w14:paraId="466422DC"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Nomadic pastoralist</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7A5F0F"/>
                <w:kern w:val="0"/>
                <w:sz w:val="19"/>
                <w:szCs w:val="19"/>
                <w14:ligatures w14:val="none"/>
              </w:rPr>
              <w:t>32.1%</w:t>
            </w:r>
          </w:p>
          <w:p w14:paraId="0A9A2B17"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C9A227"/>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5773CAAD" w14:textId="77777777" w:rsidR="003A512F" w:rsidRPr="003A512F" w:rsidRDefault="003A512F" w:rsidP="003A512F">
            <w:pPr>
              <w:spacing w:after="18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Capacity-to-pay measure 35.8%  ·  mean burden 11.2%</w:t>
            </w:r>
          </w:p>
          <w:p w14:paraId="103326F7"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Displacement settlement (IDP)</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7A5F0F"/>
                <w:kern w:val="0"/>
                <w:sz w:val="19"/>
                <w:szCs w:val="19"/>
                <w14:ligatures w14:val="none"/>
              </w:rPr>
              <w:t>38.5%</w:t>
            </w:r>
          </w:p>
          <w:p w14:paraId="156A9C96"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C9A227"/>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3605EB94" w14:textId="77777777" w:rsidR="003A512F" w:rsidRPr="003A512F" w:rsidRDefault="003A512F" w:rsidP="003A512F">
            <w:pPr>
              <w:spacing w:after="18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Capacity-to-pay measure 45.9%  ·  mean burden 11.8%</w:t>
            </w:r>
          </w:p>
          <w:p w14:paraId="1C2B5260" w14:textId="77777777" w:rsidR="003A512F" w:rsidRPr="003A512F" w:rsidRDefault="003A512F" w:rsidP="003A512F">
            <w:pPr>
              <w:pBdr>
                <w:top w:val="single" w:sz="4" w:space="8" w:color="D7DEE2"/>
              </w:pBdr>
              <w:spacing w:before="100" w:after="0" w:line="24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i/>
                <w:iCs/>
                <w:color w:val="4C5C66"/>
                <w:kern w:val="0"/>
                <w:sz w:val="16"/>
                <w:szCs w:val="16"/>
                <w14:ligatures w14:val="none"/>
              </w:rPr>
              <w:t>Share of households crossing the 10% budget-share threshold; bars scaled to 50%. On the capacity-to-pay measure the gradient is steeper still: 16.3% urban to 45.9% in displacement settlements — nearly one household in two.</w:t>
            </w:r>
          </w:p>
        </w:tc>
      </w:tr>
    </w:tbl>
    <w:p w14:paraId="4509DD18" w14:textId="77777777" w:rsidR="003A512F" w:rsidRPr="003A512F" w:rsidRDefault="003A512F" w:rsidP="003A512F">
      <w:pPr>
        <w:spacing w:after="340" w:line="300" w:lineRule="auto"/>
        <w:rPr>
          <w:rFonts w:ascii="Times New Roman" w:eastAsia="Cambria" w:hAnsi="Times New Roman" w:cs="Times New Roman"/>
          <w:color w:val="16222B"/>
          <w:kern w:val="0"/>
          <w:sz w:val="21"/>
          <w:szCs w:val="21"/>
          <w14:ligatures w14:val="none"/>
        </w:rPr>
      </w:pPr>
    </w:p>
    <w:p w14:paraId="2673BDE2" w14:textId="77777777" w:rsidR="003A512F" w:rsidRPr="003A512F" w:rsidRDefault="003A512F" w:rsidP="003A512F">
      <w:pPr>
        <w:spacing w:after="2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Almost one in two displaced households crosses the capacity-to-pay threshold. And the obvious explanation — that displaced people are simply poorer — turns out to be only part of the story.</w:t>
      </w:r>
    </w:p>
    <w:p w14:paraId="41484A9D" w14:textId="77777777" w:rsidR="003A512F" w:rsidRPr="003A512F" w:rsidRDefault="003A512F" w:rsidP="003A512F">
      <w:pPr>
        <w:spacing w:after="20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 xml:space="preserve">Even after accounting for wealth, household size, chronic illness, and other factors, displacement </w:t>
      </w:r>
      <w:r w:rsidRPr="003A512F">
        <w:rPr>
          <w:rFonts w:ascii="Times New Roman" w:eastAsia="Cambria" w:hAnsi="Times New Roman" w:cs="Cambria"/>
          <w:i/>
          <w:iCs/>
          <w:color w:val="16222B"/>
          <w:kern w:val="0"/>
          <w:sz w:val="21"/>
          <w:szCs w:val="21"/>
          <w14:ligatures w14:val="none"/>
        </w:rPr>
        <w:t>still</w:t>
      </w:r>
      <w:r w:rsidRPr="003A512F">
        <w:rPr>
          <w:rFonts w:ascii="Times New Roman" w:eastAsia="Cambria" w:hAnsi="Times New Roman" w:cs="Cambria"/>
          <w:color w:val="16222B"/>
          <w:kern w:val="0"/>
          <w:sz w:val="21"/>
          <w:szCs w:val="21"/>
          <w14:ligatures w14:val="none"/>
        </w:rPr>
        <w:t xml:space="preserve"> raises the odds of catastrophe by 90%. Living on the move raises them by 66%. Displacement and mobility are not just proxies for poverty. They are structural disadvantages in their own right: distance from fixed facilities, transport and lodging costs that never appear on a fee schedule, missing documentation, insecure livelihoods, and no assets to fall back on.</w:t>
      </w:r>
    </w:p>
    <w:p w14:paraId="0D6335C4" w14:textId="77777777" w:rsidR="003A512F" w:rsidRPr="003A512F" w:rsidRDefault="003A512F" w:rsidP="003A512F">
      <w:pPr>
        <w:spacing w:after="34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 xml:space="preserve">The policy consequence is direct. </w:t>
      </w:r>
      <w:r w:rsidRPr="003A512F">
        <w:rPr>
          <w:rFonts w:ascii="Times New Roman" w:eastAsia="Cambria" w:hAnsi="Times New Roman" w:cs="Times New Roman"/>
          <w:b/>
          <w:bCs/>
          <w:color w:val="0A1F3C"/>
          <w:kern w:val="0"/>
          <w:sz w:val="21"/>
          <w:szCs w:val="21"/>
          <w14:ligatures w14:val="none"/>
        </w:rPr>
        <w:t>A financial protection scheme that targets only by income will systematically miss the people it most needs to reach.</w:t>
      </w:r>
      <w:r w:rsidRPr="003A512F">
        <w:rPr>
          <w:rFonts w:ascii="Times New Roman" w:eastAsia="Cambria" w:hAnsi="Times New Roman" w:cs="Times New Roman"/>
          <w:color w:val="16222B"/>
          <w:kern w:val="0"/>
          <w:sz w:val="21"/>
          <w:szCs w:val="21"/>
          <w14:ligatures w14:val="none"/>
        </w:rPr>
        <w:t xml:space="preserve"> Targeting has to be geographic and status-based as well as economic.</w:t>
      </w:r>
    </w:p>
    <w:tbl>
      <w:tblPr>
        <w:tblW w:w="9500" w:type="dxa"/>
        <w:tblInd w:w="3" w:type="dxa"/>
        <w:tblCellMar>
          <w:left w:w="0" w:type="dxa"/>
          <w:right w:w="0" w:type="dxa"/>
        </w:tblCellMar>
        <w:tblLook w:val="04A0" w:firstRow="1" w:lastRow="0" w:firstColumn="1" w:lastColumn="0" w:noHBand="0" w:noVBand="1"/>
      </w:tblPr>
      <w:tblGrid>
        <w:gridCol w:w="9500"/>
      </w:tblGrid>
      <w:tr w:rsidR="00BD08D3" w14:paraId="37348E5F" w14:textId="77777777">
        <w:tc>
          <w:tcPr>
            <w:tcW w:w="9500" w:type="dxa"/>
            <w:tcBorders>
              <w:top w:val="nil"/>
              <w:left w:val="single" w:sz="18" w:space="0" w:color="C9A227"/>
              <w:bottom w:val="nil"/>
              <w:right w:val="nil"/>
            </w:tcBorders>
            <w:tcMar>
              <w:top w:w="160" w:type="dxa"/>
              <w:left w:w="260" w:type="dxa"/>
              <w:bottom w:w="160" w:type="dxa"/>
              <w:right w:w="120" w:type="dxa"/>
            </w:tcMar>
            <w:hideMark/>
          </w:tcPr>
          <w:p w14:paraId="305B3CB4" w14:textId="77777777" w:rsidR="00BD08D3" w:rsidRDefault="00BD08D3">
            <w:pPr>
              <w:spacing w:after="0" w:line="300" w:lineRule="auto"/>
              <w:rPr>
                <w:kern w:val="0"/>
                <w14:ligatures w14:val="none"/>
              </w:rPr>
            </w:pPr>
            <w:r>
              <w:rPr>
                <w:rFonts w:ascii="Times New Roman" w:hAnsi="Times New Roman"/>
                <w:i/>
                <w:iCs/>
                <w:color w:val="12355B"/>
                <w:sz w:val="26"/>
                <w:szCs w:val="26"/>
              </w:rPr>
              <w:t>A benefit package is only equitable if it can reach displaced households, nomadic families, and communities beyond the fixed facility.</w:t>
            </w:r>
          </w:p>
        </w:tc>
      </w:tr>
    </w:tbl>
    <w:p w14:paraId="323CCF7E" w14:textId="77777777" w:rsidR="00BD08D3" w:rsidRDefault="00BD08D3">
      <w:pPr>
        <w:spacing w:after="340" w:line="300" w:lineRule="auto"/>
        <w:rPr>
          <w:kern w:val="0"/>
          <w14:ligatures w14:val="none"/>
        </w:rPr>
      </w:pPr>
    </w:p>
    <w:p w14:paraId="321253AE" w14:textId="77777777" w:rsidR="003A512F" w:rsidRPr="003A512F" w:rsidRDefault="003A512F" w:rsidP="003A512F">
      <w:pPr>
        <w:spacing w:before="360" w:after="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INCIDENCE</w:t>
      </w:r>
    </w:p>
    <w:p w14:paraId="04210BE3" w14:textId="77777777" w:rsidR="003A512F" w:rsidRPr="003A512F" w:rsidRDefault="003A512F" w:rsidP="003A512F">
      <w:pPr>
        <w:spacing w:after="220" w:line="300" w:lineRule="auto"/>
        <w:outlineLvl w:val="0"/>
        <w:rPr>
          <w:rFonts w:ascii="Times New Roman" w:eastAsia="Cambria" w:hAnsi="Times New Roman" w:cs="Times New Roman"/>
          <w:b/>
          <w:bCs/>
          <w:color w:val="0A1F3C"/>
          <w:kern w:val="0"/>
          <w:sz w:val="30"/>
          <w:szCs w:val="30"/>
          <w14:ligatures w14:val="none"/>
        </w:rPr>
      </w:pPr>
      <w:r w:rsidRPr="003A512F">
        <w:rPr>
          <w:rFonts w:ascii="Times New Roman" w:eastAsia="Cambria" w:hAnsi="Times New Roman" w:cs="Times New Roman"/>
          <w:b/>
          <w:bCs/>
          <w:color w:val="0A1F3C"/>
          <w:kern w:val="0"/>
          <w:sz w:val="30"/>
          <w:szCs w:val="30"/>
          <w14:ligatures w14:val="none"/>
        </w:rPr>
        <w:t>A tax that rises as income falls</w:t>
      </w:r>
    </w:p>
    <w:p w14:paraId="02D1B67F" w14:textId="77777777" w:rsidR="003A512F" w:rsidRPr="003A512F" w:rsidRDefault="003A512F" w:rsidP="003A512F">
      <w:pPr>
        <w:spacing w:after="3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Run the same analysis across wealth quintiles and out-of-pocket financing shows its true shape. It is a tax on being ill, and it is steeply regressive.</w:t>
      </w:r>
    </w:p>
    <w:tbl>
      <w:tblPr>
        <w:tblW w:w="9500" w:type="dxa"/>
        <w:tblCellMar>
          <w:left w:w="10" w:type="dxa"/>
          <w:right w:w="10" w:type="dxa"/>
        </w:tblCellMar>
        <w:tblLook w:val="04A0" w:firstRow="1" w:lastRow="0" w:firstColumn="1" w:lastColumn="0" w:noHBand="0" w:noVBand="1"/>
      </w:tblPr>
      <w:tblGrid>
        <w:gridCol w:w="9500"/>
      </w:tblGrid>
      <w:tr w:rsidR="003A512F" w:rsidRPr="003A512F" w14:paraId="3C0B4C18" w14:textId="77777777" w:rsidTr="00B81B5F">
        <w:trPr>
          <w:cantSplit/>
        </w:trPr>
        <w:tc>
          <w:tcPr>
            <w:tcW w:w="9500" w:type="dxa"/>
            <w:shd w:val="clear" w:color="auto" w:fill="156082" w:themeFill="accent1"/>
            <w:tcMar>
              <w:top w:w="200" w:type="dxa"/>
              <w:left w:w="260" w:type="dxa"/>
              <w:bottom w:w="200" w:type="dxa"/>
              <w:right w:w="260" w:type="dxa"/>
            </w:tcMar>
          </w:tcPr>
          <w:p w14:paraId="4252CE00" w14:textId="77777777" w:rsidR="003A512F" w:rsidRPr="003A512F" w:rsidRDefault="003A512F" w:rsidP="003A512F">
            <w:pPr>
              <w:keepNext/>
              <w:spacing w:after="7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REGRESSIVITY</w:t>
            </w:r>
          </w:p>
          <w:p w14:paraId="7DB5A1C0" w14:textId="77777777" w:rsidR="003A512F" w:rsidRPr="003A512F" w:rsidRDefault="003A512F" w:rsidP="003A512F">
            <w:pPr>
              <w:keepNext/>
              <w:spacing w:after="0" w:line="26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FFFFFF"/>
                <w:kern w:val="0"/>
                <w:sz w:val="25"/>
                <w:szCs w:val="25"/>
                <w14:ligatures w14:val="none"/>
              </w:rPr>
              <w:t>The poorest fifth face triple the risk of the richest.</w:t>
            </w:r>
          </w:p>
        </w:tc>
      </w:tr>
      <w:tr w:rsidR="003A512F" w:rsidRPr="003A512F" w14:paraId="7326FBBD" w14:textId="77777777" w:rsidTr="00B81B5F">
        <w:trPr>
          <w:cantSplit/>
        </w:trPr>
        <w:tc>
          <w:tcPr>
            <w:tcW w:w="9500" w:type="dxa"/>
            <w:shd w:val="clear" w:color="auto" w:fill="F2F6F7"/>
            <w:tcMar>
              <w:top w:w="240" w:type="dxa"/>
              <w:left w:w="260" w:type="dxa"/>
              <w:bottom w:w="220" w:type="dxa"/>
              <w:right w:w="260" w:type="dxa"/>
            </w:tcMar>
          </w:tcPr>
          <w:p w14:paraId="18730C9D"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Q1 — poorest</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7A5F0F"/>
                <w:kern w:val="0"/>
                <w:sz w:val="19"/>
                <w:szCs w:val="19"/>
                <w14:ligatures w14:val="none"/>
              </w:rPr>
              <w:t>35.6%</w:t>
            </w:r>
          </w:p>
          <w:p w14:paraId="10B798FD"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C9A227"/>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6E74CCFE" w14:textId="77777777" w:rsidR="003A512F" w:rsidRPr="003A512F" w:rsidRDefault="003A512F" w:rsidP="003A512F">
            <w:pPr>
              <w:spacing w:after="18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Health takes 11.9% of everything this group spends</w:t>
            </w:r>
          </w:p>
          <w:p w14:paraId="11E91720"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Q2</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7A5F0F"/>
                <w:kern w:val="0"/>
                <w:sz w:val="19"/>
                <w:szCs w:val="19"/>
                <w14:ligatures w14:val="none"/>
              </w:rPr>
              <w:t>29.6%</w:t>
            </w:r>
          </w:p>
          <w:p w14:paraId="3628DADA"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C9A227"/>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5860A7D3" w14:textId="77777777" w:rsidR="003A512F" w:rsidRPr="003A512F" w:rsidRDefault="003A512F" w:rsidP="003A512F">
            <w:pPr>
              <w:spacing w:after="18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9.8%</w:t>
            </w:r>
          </w:p>
          <w:p w14:paraId="0F132033"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Q3</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0F7A78"/>
                <w:kern w:val="0"/>
                <w:sz w:val="19"/>
                <w:szCs w:val="19"/>
                <w14:ligatures w14:val="none"/>
              </w:rPr>
              <w:t>26.7%</w:t>
            </w:r>
          </w:p>
          <w:p w14:paraId="6BC6F022"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1AA3A0"/>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49F73D9D" w14:textId="77777777" w:rsidR="003A512F" w:rsidRPr="003A512F" w:rsidRDefault="003A512F" w:rsidP="003A512F">
            <w:pPr>
              <w:spacing w:after="18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8.2%</w:t>
            </w:r>
          </w:p>
          <w:p w14:paraId="2D039437"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Q4</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0F7A78"/>
                <w:kern w:val="0"/>
                <w:sz w:val="19"/>
                <w:szCs w:val="19"/>
                <w14:ligatures w14:val="none"/>
              </w:rPr>
              <w:t>21.9%</w:t>
            </w:r>
          </w:p>
          <w:p w14:paraId="7D59D632"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1AA3A0"/>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7A7B42A8" w14:textId="77777777" w:rsidR="003A512F" w:rsidRPr="003A512F" w:rsidRDefault="003A512F" w:rsidP="003A512F">
            <w:pPr>
              <w:spacing w:after="18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7.2%</w:t>
            </w:r>
          </w:p>
          <w:p w14:paraId="65B92908" w14:textId="77777777" w:rsidR="003A512F" w:rsidRPr="003A512F" w:rsidRDefault="003A512F" w:rsidP="003A512F">
            <w:pPr>
              <w:keepNext/>
              <w:tabs>
                <w:tab w:val="right" w:pos="8980"/>
              </w:tabs>
              <w:spacing w:after="5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9"/>
                <w:szCs w:val="19"/>
                <w14:ligatures w14:val="none"/>
              </w:rPr>
              <w:t>Q5 — richest</w:t>
            </w:r>
            <w:r w:rsidRPr="003A512F">
              <w:rPr>
                <w:rFonts w:ascii="Times New Roman" w:eastAsia="Calibri" w:hAnsi="Times New Roman" w:cs="Times New Roman"/>
                <w:color w:val="16222B"/>
                <w:kern w:val="0"/>
                <w:sz w:val="19"/>
                <w:szCs w:val="19"/>
                <w14:ligatures w14:val="none"/>
              </w:rPr>
              <w:tab/>
            </w:r>
            <w:r w:rsidRPr="003A512F">
              <w:rPr>
                <w:rFonts w:ascii="Times New Roman" w:eastAsia="Consolas" w:hAnsi="Times New Roman" w:cs="Times New Roman"/>
                <w:b/>
                <w:bCs/>
                <w:color w:val="0F7A78"/>
                <w:kern w:val="0"/>
                <w:sz w:val="19"/>
                <w:szCs w:val="19"/>
                <w14:ligatures w14:val="none"/>
              </w:rPr>
              <w:t>11.1%</w:t>
            </w:r>
          </w:p>
          <w:p w14:paraId="0B67F771" w14:textId="77777777" w:rsidR="003A512F" w:rsidRPr="003A512F" w:rsidRDefault="003A512F" w:rsidP="003A512F">
            <w:pPr>
              <w:spacing w:after="40" w:line="2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1AA3A0"/>
                <w:kern w:val="0"/>
                <w:sz w:val="16"/>
                <w:szCs w:val="16"/>
                <w14:ligatures w14:val="none"/>
              </w:rPr>
              <w:t>█████████</w:t>
            </w:r>
            <w:r w:rsidRPr="003A512F">
              <w:rPr>
                <w:rFonts w:ascii="Times New Roman" w:eastAsia="Consolas" w:hAnsi="Times New Roman" w:cs="Times New Roman"/>
                <w:color w:val="DDE4E8"/>
                <w:kern w:val="0"/>
                <w:sz w:val="16"/>
                <w:szCs w:val="16"/>
                <w14:ligatures w14:val="none"/>
              </w:rPr>
              <w:t>█████████████████████████</w:t>
            </w:r>
          </w:p>
          <w:p w14:paraId="2E8C743B" w14:textId="77777777" w:rsidR="003A512F" w:rsidRPr="003A512F" w:rsidRDefault="003A512F" w:rsidP="003A512F">
            <w:pPr>
              <w:spacing w:after="18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5.1%</w:t>
            </w:r>
          </w:p>
          <w:p w14:paraId="5D53CE87" w14:textId="77777777" w:rsidR="003A512F" w:rsidRPr="003A512F" w:rsidRDefault="003A512F" w:rsidP="003A512F">
            <w:pPr>
              <w:pBdr>
                <w:top w:val="single" w:sz="4" w:space="8" w:color="D7DEE2"/>
              </w:pBdr>
              <w:spacing w:before="100" w:after="0" w:line="24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i/>
                <w:iCs/>
                <w:color w:val="4C5C66"/>
                <w:kern w:val="0"/>
                <w:sz w:val="16"/>
                <w:szCs w:val="16"/>
                <w14:ligatures w14:val="none"/>
              </w:rPr>
              <w:t>Catastrophic health expenditure at the 10% threshold, by wealth quintile; bars scaled to 40%. On the capacity-to-pay measure the spread is wider: 43.7% in Q1 against 8.9% in Q5.</w:t>
            </w:r>
          </w:p>
        </w:tc>
      </w:tr>
    </w:tbl>
    <w:p w14:paraId="399474AD" w14:textId="77777777" w:rsidR="003A512F" w:rsidRPr="003A512F" w:rsidRDefault="003A512F" w:rsidP="003A512F">
      <w:pPr>
        <w:spacing w:after="340" w:line="300" w:lineRule="auto"/>
        <w:rPr>
          <w:rFonts w:ascii="Times New Roman" w:eastAsia="Cambria" w:hAnsi="Times New Roman" w:cs="Times New Roman"/>
          <w:color w:val="16222B"/>
          <w:kern w:val="0"/>
          <w:sz w:val="21"/>
          <w:szCs w:val="21"/>
          <w14:ligatures w14:val="none"/>
        </w:rPr>
      </w:pPr>
    </w:p>
    <w:p w14:paraId="0F4CE3CC" w14:textId="77777777" w:rsidR="003A512F" w:rsidRPr="003A512F" w:rsidRDefault="003A512F" w:rsidP="003A512F">
      <w:pPr>
        <w:spacing w:after="34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Wealthier households absorb a health bill through savings, salary, or family support. Poorer households absorb it by eating less, borrowing on harsh terms, selling income-generating assets, or not seeking care at all. The same financing mechanism, applied to everyone equally, produces radically unequal welfare consequences. That is the definition of a regressive system.</w:t>
      </w:r>
    </w:p>
    <w:tbl>
      <w:tblPr>
        <w:tblW w:w="9500" w:type="dxa"/>
        <w:tblInd w:w="3" w:type="dxa"/>
        <w:tblCellMar>
          <w:left w:w="0" w:type="dxa"/>
          <w:right w:w="0" w:type="dxa"/>
        </w:tblCellMar>
        <w:tblLook w:val="04A0" w:firstRow="1" w:lastRow="0" w:firstColumn="1" w:lastColumn="0" w:noHBand="0" w:noVBand="1"/>
      </w:tblPr>
      <w:tblGrid>
        <w:gridCol w:w="9500"/>
      </w:tblGrid>
      <w:tr w:rsidR="00BD08D3" w14:paraId="0D44A1BB" w14:textId="77777777">
        <w:tc>
          <w:tcPr>
            <w:tcW w:w="9500" w:type="dxa"/>
            <w:tcBorders>
              <w:top w:val="nil"/>
              <w:left w:val="single" w:sz="18" w:space="0" w:color="C9A227"/>
              <w:bottom w:val="nil"/>
              <w:right w:val="nil"/>
            </w:tcBorders>
            <w:tcMar>
              <w:top w:w="160" w:type="dxa"/>
              <w:left w:w="260" w:type="dxa"/>
              <w:bottom w:w="160" w:type="dxa"/>
              <w:right w:w="120" w:type="dxa"/>
            </w:tcMar>
            <w:hideMark/>
          </w:tcPr>
          <w:p w14:paraId="791DF4C8" w14:textId="77777777" w:rsidR="00BD08D3" w:rsidRDefault="00BD08D3">
            <w:pPr>
              <w:spacing w:after="0" w:line="300" w:lineRule="auto"/>
              <w:rPr>
                <w:kern w:val="0"/>
                <w14:ligatures w14:val="none"/>
              </w:rPr>
            </w:pPr>
            <w:r>
              <w:rPr>
                <w:rFonts w:ascii="Times New Roman" w:hAnsi="Times New Roman"/>
                <w:i/>
                <w:iCs/>
                <w:color w:val="12355B"/>
                <w:sz w:val="26"/>
                <w:szCs w:val="26"/>
              </w:rPr>
              <w:t>Out-of-pocket payment looks equal at the clinic counter; its consequences are unequal in every household ledger.</w:t>
            </w:r>
          </w:p>
        </w:tc>
      </w:tr>
    </w:tbl>
    <w:p w14:paraId="0575F8C6" w14:textId="77777777" w:rsidR="00BD08D3" w:rsidRDefault="00BD08D3">
      <w:pPr>
        <w:spacing w:after="340" w:line="300" w:lineRule="auto"/>
        <w:rPr>
          <w:kern w:val="0"/>
          <w14:ligatures w14:val="none"/>
        </w:rPr>
      </w:pPr>
    </w:p>
    <w:p w14:paraId="13CBBF83" w14:textId="77777777" w:rsidR="003A512F" w:rsidRPr="003A512F" w:rsidRDefault="003A512F" w:rsidP="003A512F">
      <w:pPr>
        <w:spacing w:before="360" w:after="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DETERMINANTS</w:t>
      </w:r>
    </w:p>
    <w:p w14:paraId="0A7EB320" w14:textId="77777777" w:rsidR="003A512F" w:rsidRPr="003A512F" w:rsidRDefault="003A512F" w:rsidP="003A512F">
      <w:pPr>
        <w:spacing w:after="220" w:line="300" w:lineRule="auto"/>
        <w:outlineLvl w:val="0"/>
        <w:rPr>
          <w:rFonts w:ascii="Times New Roman" w:eastAsia="Cambria" w:hAnsi="Times New Roman" w:cs="Times New Roman"/>
          <w:b/>
          <w:bCs/>
          <w:color w:val="0A1F3C"/>
          <w:kern w:val="0"/>
          <w:sz w:val="30"/>
          <w:szCs w:val="30"/>
          <w14:ligatures w14:val="none"/>
        </w:rPr>
      </w:pPr>
      <w:r w:rsidRPr="003A512F">
        <w:rPr>
          <w:rFonts w:ascii="Times New Roman" w:eastAsia="Cambria" w:hAnsi="Times New Roman" w:cs="Times New Roman"/>
          <w:b/>
          <w:bCs/>
          <w:color w:val="0A1F3C"/>
          <w:kern w:val="0"/>
          <w:sz w:val="30"/>
          <w:szCs w:val="30"/>
          <w14:ligatures w14:val="none"/>
        </w:rPr>
        <w:t>What actually drives a household over the edge</w:t>
      </w:r>
    </w:p>
    <w:p w14:paraId="39AA7E62" w14:textId="77777777" w:rsidR="003A512F" w:rsidRPr="003A512F" w:rsidRDefault="003A512F" w:rsidP="003A512F">
      <w:pPr>
        <w:spacing w:after="3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Descriptive gradients tell you where hardship clusters. A regression tells you what is doing the work once everything else is accounted for. Here the picture sharpens considerably.</w:t>
      </w:r>
    </w:p>
    <w:tbl>
      <w:tblPr>
        <w:tblW w:w="9500" w:type="dxa"/>
        <w:tblCellMar>
          <w:left w:w="10" w:type="dxa"/>
          <w:right w:w="10" w:type="dxa"/>
        </w:tblCellMar>
        <w:tblLook w:val="04A0" w:firstRow="1" w:lastRow="0" w:firstColumn="1" w:lastColumn="0" w:noHBand="0" w:noVBand="1"/>
      </w:tblPr>
      <w:tblGrid>
        <w:gridCol w:w="10020"/>
      </w:tblGrid>
      <w:tr w:rsidR="003A512F" w:rsidRPr="003A512F" w14:paraId="1AFFE53A" w14:textId="77777777" w:rsidTr="00B81B5F">
        <w:trPr>
          <w:cantSplit/>
        </w:trPr>
        <w:tc>
          <w:tcPr>
            <w:tcW w:w="9500" w:type="dxa"/>
            <w:shd w:val="clear" w:color="auto" w:fill="156082" w:themeFill="accent1"/>
            <w:tcMar>
              <w:top w:w="200" w:type="dxa"/>
              <w:left w:w="260" w:type="dxa"/>
              <w:bottom w:w="200" w:type="dxa"/>
              <w:right w:w="260" w:type="dxa"/>
            </w:tcMar>
          </w:tcPr>
          <w:p w14:paraId="5CBF5270" w14:textId="77777777" w:rsidR="003A512F" w:rsidRPr="003A512F" w:rsidRDefault="003A512F" w:rsidP="003A512F">
            <w:pPr>
              <w:keepNext/>
              <w:spacing w:after="7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ADJUSTED ODDS OF CATASTROPHIC SPENDING</w:t>
            </w:r>
          </w:p>
          <w:p w14:paraId="32CA6E8D" w14:textId="77777777" w:rsidR="003A512F" w:rsidRPr="003A512F" w:rsidRDefault="003A512F" w:rsidP="003A512F">
            <w:pPr>
              <w:keepNext/>
              <w:spacing w:after="0" w:line="26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FFFFFF"/>
                <w:kern w:val="0"/>
                <w:sz w:val="25"/>
                <w:szCs w:val="25"/>
                <w14:ligatures w14:val="none"/>
              </w:rPr>
              <w:t>Chronic illness quadruples the risk. Nothing else comes close.</w:t>
            </w:r>
          </w:p>
        </w:tc>
      </w:tr>
      <w:tr w:rsidR="003A512F" w:rsidRPr="003A512F" w14:paraId="2661DF06" w14:textId="77777777" w:rsidTr="00B81B5F">
        <w:trPr>
          <w:cantSplit/>
        </w:trPr>
        <w:tc>
          <w:tcPr>
            <w:tcW w:w="9500" w:type="dxa"/>
            <w:shd w:val="clear" w:color="auto" w:fill="F2F6F7"/>
            <w:tcMar>
              <w:top w:w="240" w:type="dxa"/>
              <w:left w:w="260" w:type="dxa"/>
              <w:bottom w:w="220" w:type="dxa"/>
              <w:right w:w="260" w:type="dxa"/>
            </w:tcMar>
          </w:tcPr>
          <w:tbl>
            <w:tblPr>
              <w:tblW w:w="9500" w:type="dxa"/>
              <w:tblCellMar>
                <w:left w:w="10" w:type="dxa"/>
                <w:right w:w="10" w:type="dxa"/>
              </w:tblCellMar>
              <w:tblLook w:val="04A0" w:firstRow="1" w:lastRow="0" w:firstColumn="1" w:lastColumn="0" w:noHBand="0" w:noVBand="1"/>
            </w:tblPr>
            <w:tblGrid>
              <w:gridCol w:w="3500"/>
              <w:gridCol w:w="2100"/>
              <w:gridCol w:w="3900"/>
            </w:tblGrid>
            <w:tr w:rsidR="003A512F" w:rsidRPr="003A512F" w14:paraId="3800A076" w14:textId="77777777" w:rsidTr="00B81B5F">
              <w:trPr>
                <w:tblHeader/>
              </w:trPr>
              <w:tc>
                <w:tcPr>
                  <w:tcW w:w="3500" w:type="dxa"/>
                  <w:tcBorders>
                    <w:bottom w:val="single" w:sz="8" w:space="0" w:color="12355B"/>
                  </w:tcBorders>
                  <w:shd w:val="clear" w:color="auto" w:fill="FFFFFF"/>
                  <w:tcMar>
                    <w:top w:w="90" w:type="dxa"/>
                    <w:left w:w="150" w:type="dxa"/>
                    <w:bottom w:w="90" w:type="dxa"/>
                    <w:right w:w="150" w:type="dxa"/>
                  </w:tcMar>
                </w:tcPr>
                <w:p w14:paraId="660998EA"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spacing w:val="20"/>
                      <w:kern w:val="0"/>
                      <w:sz w:val="16"/>
                      <w:szCs w:val="16"/>
                      <w14:ligatures w14:val="none"/>
                    </w:rPr>
                    <w:t>Household characteristic</w:t>
                  </w:r>
                </w:p>
              </w:tc>
              <w:tc>
                <w:tcPr>
                  <w:tcW w:w="2100" w:type="dxa"/>
                  <w:tcBorders>
                    <w:bottom w:val="single" w:sz="8" w:space="0" w:color="12355B"/>
                  </w:tcBorders>
                  <w:shd w:val="clear" w:color="auto" w:fill="FFFFFF"/>
                  <w:tcMar>
                    <w:top w:w="90" w:type="dxa"/>
                    <w:left w:w="150" w:type="dxa"/>
                    <w:bottom w:w="90" w:type="dxa"/>
                    <w:right w:w="150" w:type="dxa"/>
                  </w:tcMar>
                </w:tcPr>
                <w:p w14:paraId="193C47B7"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spacing w:val="20"/>
                      <w:kern w:val="0"/>
                      <w:sz w:val="16"/>
                      <w:szCs w:val="16"/>
                      <w14:ligatures w14:val="none"/>
                    </w:rPr>
                    <w:t>Adjusted odds ratio (95% CI)</w:t>
                  </w:r>
                </w:p>
              </w:tc>
              <w:tc>
                <w:tcPr>
                  <w:tcW w:w="3900" w:type="dxa"/>
                  <w:tcBorders>
                    <w:bottom w:val="single" w:sz="8" w:space="0" w:color="12355B"/>
                  </w:tcBorders>
                  <w:shd w:val="clear" w:color="auto" w:fill="FFFFFF"/>
                  <w:tcMar>
                    <w:top w:w="90" w:type="dxa"/>
                    <w:left w:w="150" w:type="dxa"/>
                    <w:bottom w:w="90" w:type="dxa"/>
                    <w:right w:w="150" w:type="dxa"/>
                  </w:tcMar>
                </w:tcPr>
                <w:p w14:paraId="3897F0E0"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spacing w:val="20"/>
                      <w:kern w:val="0"/>
                      <w:sz w:val="16"/>
                      <w:szCs w:val="16"/>
                      <w14:ligatures w14:val="none"/>
                    </w:rPr>
                    <w:t>Relative to no risk (OR = 1)</w:t>
                  </w:r>
                </w:p>
              </w:tc>
            </w:tr>
            <w:tr w:rsidR="003A512F" w:rsidRPr="003A512F" w14:paraId="11A10B6F" w14:textId="77777777" w:rsidTr="00B81B5F">
              <w:trPr>
                <w:cantSplit/>
              </w:trPr>
              <w:tc>
                <w:tcPr>
                  <w:tcW w:w="3500" w:type="dxa"/>
                  <w:tcBorders>
                    <w:bottom w:val="single" w:sz="3" w:space="0" w:color="D7DEE2"/>
                  </w:tcBorders>
                  <w:shd w:val="clear" w:color="auto" w:fill="FFFFFF"/>
                  <w:tcMar>
                    <w:top w:w="90" w:type="dxa"/>
                    <w:left w:w="150" w:type="dxa"/>
                    <w:bottom w:w="90" w:type="dxa"/>
                    <w:right w:w="150" w:type="dxa"/>
                  </w:tcMar>
                </w:tcPr>
                <w:p w14:paraId="0B18959A"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8"/>
                      <w:szCs w:val="18"/>
                      <w14:ligatures w14:val="none"/>
                    </w:rPr>
                    <w:t>Chronic illness in the household</w:t>
                  </w:r>
                </w:p>
              </w:tc>
              <w:tc>
                <w:tcPr>
                  <w:tcW w:w="2100" w:type="dxa"/>
                  <w:tcBorders>
                    <w:bottom w:val="single" w:sz="3" w:space="0" w:color="D7DEE2"/>
                  </w:tcBorders>
                  <w:shd w:val="clear" w:color="auto" w:fill="FFFFFF"/>
                  <w:tcMar>
                    <w:top w:w="90" w:type="dxa"/>
                    <w:left w:w="150" w:type="dxa"/>
                    <w:bottom w:w="90" w:type="dxa"/>
                    <w:right w:w="150" w:type="dxa"/>
                  </w:tcMar>
                </w:tcPr>
                <w:p w14:paraId="492FFA67"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C9A227"/>
                      <w:kern w:val="0"/>
                      <w:sz w:val="18"/>
                      <w:szCs w:val="18"/>
                      <w14:ligatures w14:val="none"/>
                    </w:rPr>
                    <w:t>4.05</w:t>
                  </w:r>
                  <w:r w:rsidRPr="003A512F">
                    <w:rPr>
                      <w:rFonts w:ascii="Times New Roman" w:eastAsia="Consolas" w:hAnsi="Times New Roman" w:cs="Times New Roman"/>
                      <w:color w:val="4C5C66"/>
                      <w:kern w:val="0"/>
                      <w:sz w:val="15"/>
                      <w:szCs w:val="15"/>
                      <w14:ligatures w14:val="none"/>
                    </w:rPr>
                    <w:t xml:space="preserve">  (3.02–5.44)</w:t>
                  </w:r>
                </w:p>
              </w:tc>
              <w:tc>
                <w:tcPr>
                  <w:tcW w:w="3900" w:type="dxa"/>
                  <w:tcBorders>
                    <w:bottom w:val="single" w:sz="3" w:space="0" w:color="D7DEE2"/>
                  </w:tcBorders>
                  <w:shd w:val="clear" w:color="auto" w:fill="FFFFFF"/>
                  <w:tcMar>
                    <w:top w:w="90" w:type="dxa"/>
                    <w:left w:w="150" w:type="dxa"/>
                    <w:bottom w:w="90" w:type="dxa"/>
                    <w:right w:w="150" w:type="dxa"/>
                  </w:tcMar>
                </w:tcPr>
                <w:p w14:paraId="50A629DE"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C9A227"/>
                      <w:kern w:val="0"/>
                      <w:sz w:val="14"/>
                      <w:szCs w:val="14"/>
                      <w14:ligatures w14:val="none"/>
                    </w:rPr>
                    <w:t>████████████████████</w:t>
                  </w:r>
                  <w:r w:rsidRPr="003A512F">
                    <w:rPr>
                      <w:rFonts w:ascii="Times New Roman" w:eastAsia="Consolas" w:hAnsi="Times New Roman" w:cs="Times New Roman"/>
                      <w:color w:val="DDE4E8"/>
                      <w:kern w:val="0"/>
                      <w:sz w:val="14"/>
                      <w:szCs w:val="14"/>
                      <w14:ligatures w14:val="none"/>
                    </w:rPr>
                    <w:t>██</w:t>
                  </w:r>
                </w:p>
              </w:tc>
            </w:tr>
            <w:tr w:rsidR="003A512F" w:rsidRPr="003A512F" w14:paraId="71E89FDC" w14:textId="77777777" w:rsidTr="00B81B5F">
              <w:trPr>
                <w:cantSplit/>
              </w:trPr>
              <w:tc>
                <w:tcPr>
                  <w:tcW w:w="3500" w:type="dxa"/>
                  <w:tcBorders>
                    <w:bottom w:val="single" w:sz="3" w:space="0" w:color="D7DEE2"/>
                  </w:tcBorders>
                  <w:shd w:val="clear" w:color="auto" w:fill="FFFFFF"/>
                  <w:tcMar>
                    <w:top w:w="90" w:type="dxa"/>
                    <w:left w:w="150" w:type="dxa"/>
                    <w:bottom w:w="90" w:type="dxa"/>
                    <w:right w:w="150" w:type="dxa"/>
                  </w:tcMar>
                </w:tcPr>
                <w:p w14:paraId="6A40565F"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12355B"/>
                      <w:kern w:val="0"/>
                      <w:sz w:val="18"/>
                      <w:szCs w:val="18"/>
                      <w14:ligatures w14:val="none"/>
                    </w:rPr>
                    <w:t>Facility-based delivery in past year</w:t>
                  </w:r>
                </w:p>
              </w:tc>
              <w:tc>
                <w:tcPr>
                  <w:tcW w:w="2100" w:type="dxa"/>
                  <w:tcBorders>
                    <w:bottom w:val="single" w:sz="3" w:space="0" w:color="D7DEE2"/>
                  </w:tcBorders>
                  <w:shd w:val="clear" w:color="auto" w:fill="FFFFFF"/>
                  <w:tcMar>
                    <w:top w:w="90" w:type="dxa"/>
                    <w:left w:w="150" w:type="dxa"/>
                    <w:bottom w:w="90" w:type="dxa"/>
                    <w:right w:w="150" w:type="dxa"/>
                  </w:tcMar>
                </w:tcPr>
                <w:p w14:paraId="413E6B6E"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9E2B25"/>
                      <w:kern w:val="0"/>
                      <w:sz w:val="18"/>
                      <w:szCs w:val="18"/>
                      <w14:ligatures w14:val="none"/>
                    </w:rPr>
                    <w:t>1.98</w:t>
                  </w:r>
                  <w:r w:rsidRPr="003A512F">
                    <w:rPr>
                      <w:rFonts w:ascii="Times New Roman" w:eastAsia="Consolas" w:hAnsi="Times New Roman" w:cs="Times New Roman"/>
                      <w:color w:val="4C5C66"/>
                      <w:kern w:val="0"/>
                      <w:sz w:val="15"/>
                      <w:szCs w:val="15"/>
                      <w14:ligatures w14:val="none"/>
                    </w:rPr>
                    <w:t xml:space="preserve">  (1.42–2.78)</w:t>
                  </w:r>
                </w:p>
              </w:tc>
              <w:tc>
                <w:tcPr>
                  <w:tcW w:w="3900" w:type="dxa"/>
                  <w:tcBorders>
                    <w:bottom w:val="single" w:sz="3" w:space="0" w:color="D7DEE2"/>
                  </w:tcBorders>
                  <w:shd w:val="clear" w:color="auto" w:fill="FFFFFF"/>
                  <w:tcMar>
                    <w:top w:w="90" w:type="dxa"/>
                    <w:left w:w="150" w:type="dxa"/>
                    <w:bottom w:w="90" w:type="dxa"/>
                    <w:right w:w="150" w:type="dxa"/>
                  </w:tcMar>
                </w:tcPr>
                <w:p w14:paraId="12AC2A8A"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9E2B25"/>
                      <w:kern w:val="0"/>
                      <w:sz w:val="14"/>
                      <w:szCs w:val="14"/>
                      <w14:ligatures w14:val="none"/>
                    </w:rPr>
                    <w:t>██████████</w:t>
                  </w:r>
                  <w:r w:rsidRPr="003A512F">
                    <w:rPr>
                      <w:rFonts w:ascii="Times New Roman" w:eastAsia="Consolas" w:hAnsi="Times New Roman" w:cs="Times New Roman"/>
                      <w:color w:val="DDE4E8"/>
                      <w:kern w:val="0"/>
                      <w:sz w:val="14"/>
                      <w:szCs w:val="14"/>
                      <w14:ligatures w14:val="none"/>
                    </w:rPr>
                    <w:t>████████████</w:t>
                  </w:r>
                </w:p>
              </w:tc>
            </w:tr>
            <w:tr w:rsidR="003A512F" w:rsidRPr="003A512F" w14:paraId="4F2B949B" w14:textId="77777777" w:rsidTr="00B81B5F">
              <w:trPr>
                <w:cantSplit/>
              </w:trPr>
              <w:tc>
                <w:tcPr>
                  <w:tcW w:w="3500" w:type="dxa"/>
                  <w:tcBorders>
                    <w:bottom w:val="single" w:sz="3" w:space="0" w:color="D7DEE2"/>
                  </w:tcBorders>
                  <w:shd w:val="clear" w:color="auto" w:fill="FFFFFF"/>
                  <w:tcMar>
                    <w:top w:w="90" w:type="dxa"/>
                    <w:left w:w="150" w:type="dxa"/>
                    <w:bottom w:w="90" w:type="dxa"/>
                    <w:right w:w="150" w:type="dxa"/>
                  </w:tcMar>
                </w:tcPr>
                <w:p w14:paraId="0449AFD0"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12355B"/>
                      <w:kern w:val="0"/>
                      <w:sz w:val="18"/>
                      <w:szCs w:val="18"/>
                      <w14:ligatures w14:val="none"/>
                    </w:rPr>
                    <w:t>Living in a displacement settlement</w:t>
                  </w:r>
                </w:p>
              </w:tc>
              <w:tc>
                <w:tcPr>
                  <w:tcW w:w="2100" w:type="dxa"/>
                  <w:tcBorders>
                    <w:bottom w:val="single" w:sz="3" w:space="0" w:color="D7DEE2"/>
                  </w:tcBorders>
                  <w:shd w:val="clear" w:color="auto" w:fill="FFFFFF"/>
                  <w:tcMar>
                    <w:top w:w="90" w:type="dxa"/>
                    <w:left w:w="150" w:type="dxa"/>
                    <w:bottom w:w="90" w:type="dxa"/>
                    <w:right w:w="150" w:type="dxa"/>
                  </w:tcMar>
                </w:tcPr>
                <w:p w14:paraId="19EA7FD4"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9E2B25"/>
                      <w:kern w:val="0"/>
                      <w:sz w:val="18"/>
                      <w:szCs w:val="18"/>
                      <w14:ligatures w14:val="none"/>
                    </w:rPr>
                    <w:t>1.90</w:t>
                  </w:r>
                  <w:r w:rsidRPr="003A512F">
                    <w:rPr>
                      <w:rFonts w:ascii="Times New Roman" w:eastAsia="Consolas" w:hAnsi="Times New Roman" w:cs="Times New Roman"/>
                      <w:color w:val="4C5C66"/>
                      <w:kern w:val="0"/>
                      <w:sz w:val="15"/>
                      <w:szCs w:val="15"/>
                      <w14:ligatures w14:val="none"/>
                    </w:rPr>
                    <w:t xml:space="preserve">  (1.18–3.04)</w:t>
                  </w:r>
                </w:p>
              </w:tc>
              <w:tc>
                <w:tcPr>
                  <w:tcW w:w="3900" w:type="dxa"/>
                  <w:tcBorders>
                    <w:bottom w:val="single" w:sz="3" w:space="0" w:color="D7DEE2"/>
                  </w:tcBorders>
                  <w:shd w:val="clear" w:color="auto" w:fill="FFFFFF"/>
                  <w:tcMar>
                    <w:top w:w="90" w:type="dxa"/>
                    <w:left w:w="150" w:type="dxa"/>
                    <w:bottom w:w="90" w:type="dxa"/>
                    <w:right w:w="150" w:type="dxa"/>
                  </w:tcMar>
                </w:tcPr>
                <w:p w14:paraId="5436A382"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9E2B25"/>
                      <w:kern w:val="0"/>
                      <w:sz w:val="14"/>
                      <w:szCs w:val="14"/>
                      <w14:ligatures w14:val="none"/>
                    </w:rPr>
                    <w:t>█████████</w:t>
                  </w:r>
                  <w:r w:rsidRPr="003A512F">
                    <w:rPr>
                      <w:rFonts w:ascii="Times New Roman" w:eastAsia="Consolas" w:hAnsi="Times New Roman" w:cs="Times New Roman"/>
                      <w:color w:val="DDE4E8"/>
                      <w:kern w:val="0"/>
                      <w:sz w:val="14"/>
                      <w:szCs w:val="14"/>
                      <w14:ligatures w14:val="none"/>
                    </w:rPr>
                    <w:t>█████████████</w:t>
                  </w:r>
                </w:p>
              </w:tc>
            </w:tr>
            <w:tr w:rsidR="003A512F" w:rsidRPr="003A512F" w14:paraId="5E7C67A4" w14:textId="77777777" w:rsidTr="00B81B5F">
              <w:trPr>
                <w:cantSplit/>
              </w:trPr>
              <w:tc>
                <w:tcPr>
                  <w:tcW w:w="3500" w:type="dxa"/>
                  <w:tcBorders>
                    <w:bottom w:val="single" w:sz="3" w:space="0" w:color="D7DEE2"/>
                  </w:tcBorders>
                  <w:shd w:val="clear" w:color="auto" w:fill="FFFFFF"/>
                  <w:tcMar>
                    <w:top w:w="90" w:type="dxa"/>
                    <w:left w:w="150" w:type="dxa"/>
                    <w:bottom w:w="90" w:type="dxa"/>
                    <w:right w:w="150" w:type="dxa"/>
                  </w:tcMar>
                </w:tcPr>
                <w:p w14:paraId="55F0EB1A"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12355B"/>
                      <w:kern w:val="0"/>
                      <w:sz w:val="18"/>
                      <w:szCs w:val="18"/>
                      <w14:ligatures w14:val="none"/>
                    </w:rPr>
                    <w:t>Nomadic residence</w:t>
                  </w:r>
                </w:p>
              </w:tc>
              <w:tc>
                <w:tcPr>
                  <w:tcW w:w="2100" w:type="dxa"/>
                  <w:tcBorders>
                    <w:bottom w:val="single" w:sz="3" w:space="0" w:color="D7DEE2"/>
                  </w:tcBorders>
                  <w:shd w:val="clear" w:color="auto" w:fill="FFFFFF"/>
                  <w:tcMar>
                    <w:top w:w="90" w:type="dxa"/>
                    <w:left w:w="150" w:type="dxa"/>
                    <w:bottom w:w="90" w:type="dxa"/>
                    <w:right w:w="150" w:type="dxa"/>
                  </w:tcMar>
                </w:tcPr>
                <w:p w14:paraId="16783AC3"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9E2B25"/>
                      <w:kern w:val="0"/>
                      <w:sz w:val="18"/>
                      <w:szCs w:val="18"/>
                      <w14:ligatures w14:val="none"/>
                    </w:rPr>
                    <w:t>1.66</w:t>
                  </w:r>
                  <w:r w:rsidRPr="003A512F">
                    <w:rPr>
                      <w:rFonts w:ascii="Times New Roman" w:eastAsia="Consolas" w:hAnsi="Times New Roman" w:cs="Times New Roman"/>
                      <w:color w:val="4C5C66"/>
                      <w:kern w:val="0"/>
                      <w:sz w:val="15"/>
                      <w:szCs w:val="15"/>
                      <w14:ligatures w14:val="none"/>
                    </w:rPr>
                    <w:t xml:space="preserve">  (1.07–2.58)</w:t>
                  </w:r>
                </w:p>
              </w:tc>
              <w:tc>
                <w:tcPr>
                  <w:tcW w:w="3900" w:type="dxa"/>
                  <w:tcBorders>
                    <w:bottom w:val="single" w:sz="3" w:space="0" w:color="D7DEE2"/>
                  </w:tcBorders>
                  <w:shd w:val="clear" w:color="auto" w:fill="FFFFFF"/>
                  <w:tcMar>
                    <w:top w:w="90" w:type="dxa"/>
                    <w:left w:w="150" w:type="dxa"/>
                    <w:bottom w:w="90" w:type="dxa"/>
                    <w:right w:w="150" w:type="dxa"/>
                  </w:tcMar>
                </w:tcPr>
                <w:p w14:paraId="1D72F70D"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9E2B25"/>
                      <w:kern w:val="0"/>
                      <w:sz w:val="14"/>
                      <w:szCs w:val="14"/>
                      <w14:ligatures w14:val="none"/>
                    </w:rPr>
                    <w:t>████████</w:t>
                  </w:r>
                  <w:r w:rsidRPr="003A512F">
                    <w:rPr>
                      <w:rFonts w:ascii="Times New Roman" w:eastAsia="Consolas" w:hAnsi="Times New Roman" w:cs="Times New Roman"/>
                      <w:color w:val="DDE4E8"/>
                      <w:kern w:val="0"/>
                      <w:sz w:val="14"/>
                      <w:szCs w:val="14"/>
                      <w14:ligatures w14:val="none"/>
                    </w:rPr>
                    <w:t>██████████████</w:t>
                  </w:r>
                </w:p>
              </w:tc>
            </w:tr>
            <w:tr w:rsidR="003A512F" w:rsidRPr="003A512F" w14:paraId="10E38812" w14:textId="77777777" w:rsidTr="00B81B5F">
              <w:trPr>
                <w:cantSplit/>
              </w:trPr>
              <w:tc>
                <w:tcPr>
                  <w:tcW w:w="3500" w:type="dxa"/>
                  <w:tcBorders>
                    <w:bottom w:val="single" w:sz="3" w:space="0" w:color="D7DEE2"/>
                  </w:tcBorders>
                  <w:shd w:val="clear" w:color="auto" w:fill="FFFFFF"/>
                  <w:tcMar>
                    <w:top w:w="90" w:type="dxa"/>
                    <w:left w:w="150" w:type="dxa"/>
                    <w:bottom w:w="90" w:type="dxa"/>
                    <w:right w:w="150" w:type="dxa"/>
                  </w:tcMar>
                </w:tcPr>
                <w:p w14:paraId="65A0E813"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12355B"/>
                      <w:kern w:val="0"/>
                      <w:sz w:val="18"/>
                      <w:szCs w:val="18"/>
                      <w14:ligatures w14:val="none"/>
                    </w:rPr>
                    <w:t>Female-headed household</w:t>
                  </w:r>
                </w:p>
              </w:tc>
              <w:tc>
                <w:tcPr>
                  <w:tcW w:w="2100" w:type="dxa"/>
                  <w:tcBorders>
                    <w:bottom w:val="single" w:sz="3" w:space="0" w:color="D7DEE2"/>
                  </w:tcBorders>
                  <w:shd w:val="clear" w:color="auto" w:fill="FFFFFF"/>
                  <w:tcMar>
                    <w:top w:w="90" w:type="dxa"/>
                    <w:left w:w="150" w:type="dxa"/>
                    <w:bottom w:w="90" w:type="dxa"/>
                    <w:right w:w="150" w:type="dxa"/>
                  </w:tcMar>
                </w:tcPr>
                <w:p w14:paraId="68F41783"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9E2B25"/>
                      <w:kern w:val="0"/>
                      <w:sz w:val="18"/>
                      <w:szCs w:val="18"/>
                      <w14:ligatures w14:val="none"/>
                    </w:rPr>
                    <w:t>1.44</w:t>
                  </w:r>
                  <w:r w:rsidRPr="003A512F">
                    <w:rPr>
                      <w:rFonts w:ascii="Times New Roman" w:eastAsia="Consolas" w:hAnsi="Times New Roman" w:cs="Times New Roman"/>
                      <w:color w:val="4C5C66"/>
                      <w:kern w:val="0"/>
                      <w:sz w:val="15"/>
                      <w:szCs w:val="15"/>
                      <w14:ligatures w14:val="none"/>
                    </w:rPr>
                    <w:t xml:space="preserve">  (1.10–1.90)</w:t>
                  </w:r>
                </w:p>
              </w:tc>
              <w:tc>
                <w:tcPr>
                  <w:tcW w:w="3900" w:type="dxa"/>
                  <w:tcBorders>
                    <w:bottom w:val="single" w:sz="3" w:space="0" w:color="D7DEE2"/>
                  </w:tcBorders>
                  <w:shd w:val="clear" w:color="auto" w:fill="FFFFFF"/>
                  <w:tcMar>
                    <w:top w:w="90" w:type="dxa"/>
                    <w:left w:w="150" w:type="dxa"/>
                    <w:bottom w:w="90" w:type="dxa"/>
                    <w:right w:w="150" w:type="dxa"/>
                  </w:tcMar>
                </w:tcPr>
                <w:p w14:paraId="7736EB08"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9E2B25"/>
                      <w:kern w:val="0"/>
                      <w:sz w:val="14"/>
                      <w:szCs w:val="14"/>
                      <w14:ligatures w14:val="none"/>
                    </w:rPr>
                    <w:t>███████</w:t>
                  </w:r>
                  <w:r w:rsidRPr="003A512F">
                    <w:rPr>
                      <w:rFonts w:ascii="Times New Roman" w:eastAsia="Consolas" w:hAnsi="Times New Roman" w:cs="Times New Roman"/>
                      <w:color w:val="DDE4E8"/>
                      <w:kern w:val="0"/>
                      <w:sz w:val="14"/>
                      <w:szCs w:val="14"/>
                      <w14:ligatures w14:val="none"/>
                    </w:rPr>
                    <w:t>███████████████</w:t>
                  </w:r>
                </w:p>
              </w:tc>
            </w:tr>
            <w:tr w:rsidR="003A512F" w:rsidRPr="003A512F" w14:paraId="76837063" w14:textId="77777777" w:rsidTr="00B81B5F">
              <w:trPr>
                <w:cantSplit/>
              </w:trPr>
              <w:tc>
                <w:tcPr>
                  <w:tcW w:w="3500" w:type="dxa"/>
                  <w:tcBorders>
                    <w:bottom w:val="single" w:sz="3" w:space="0" w:color="D7DEE2"/>
                  </w:tcBorders>
                  <w:shd w:val="clear" w:color="auto" w:fill="FFFFFF"/>
                  <w:tcMar>
                    <w:top w:w="90" w:type="dxa"/>
                    <w:left w:w="150" w:type="dxa"/>
                    <w:bottom w:w="90" w:type="dxa"/>
                    <w:right w:w="150" w:type="dxa"/>
                  </w:tcMar>
                </w:tcPr>
                <w:p w14:paraId="03E7DF41"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12355B"/>
                      <w:kern w:val="0"/>
                      <w:sz w:val="18"/>
                      <w:szCs w:val="18"/>
                      <w14:ligatures w14:val="none"/>
                    </w:rPr>
                    <w:t>Each additional household member</w:t>
                  </w:r>
                </w:p>
              </w:tc>
              <w:tc>
                <w:tcPr>
                  <w:tcW w:w="2100" w:type="dxa"/>
                  <w:tcBorders>
                    <w:bottom w:val="single" w:sz="3" w:space="0" w:color="D7DEE2"/>
                  </w:tcBorders>
                  <w:shd w:val="clear" w:color="auto" w:fill="FFFFFF"/>
                  <w:tcMar>
                    <w:top w:w="90" w:type="dxa"/>
                    <w:left w:w="150" w:type="dxa"/>
                    <w:bottom w:w="90" w:type="dxa"/>
                    <w:right w:w="150" w:type="dxa"/>
                  </w:tcMar>
                </w:tcPr>
                <w:p w14:paraId="716C6361"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9E2B25"/>
                      <w:kern w:val="0"/>
                      <w:sz w:val="18"/>
                      <w:szCs w:val="18"/>
                      <w14:ligatures w14:val="none"/>
                    </w:rPr>
                    <w:t>1.11</w:t>
                  </w:r>
                  <w:r w:rsidRPr="003A512F">
                    <w:rPr>
                      <w:rFonts w:ascii="Times New Roman" w:eastAsia="Consolas" w:hAnsi="Times New Roman" w:cs="Times New Roman"/>
                      <w:color w:val="4C5C66"/>
                      <w:kern w:val="0"/>
                      <w:sz w:val="15"/>
                      <w:szCs w:val="15"/>
                      <w14:ligatures w14:val="none"/>
                    </w:rPr>
                    <w:t xml:space="preserve">  (1.03–1.20)</w:t>
                  </w:r>
                </w:p>
              </w:tc>
              <w:tc>
                <w:tcPr>
                  <w:tcW w:w="3900" w:type="dxa"/>
                  <w:tcBorders>
                    <w:bottom w:val="single" w:sz="3" w:space="0" w:color="D7DEE2"/>
                  </w:tcBorders>
                  <w:shd w:val="clear" w:color="auto" w:fill="FFFFFF"/>
                  <w:tcMar>
                    <w:top w:w="90" w:type="dxa"/>
                    <w:left w:w="150" w:type="dxa"/>
                    <w:bottom w:w="90" w:type="dxa"/>
                    <w:right w:w="150" w:type="dxa"/>
                  </w:tcMar>
                </w:tcPr>
                <w:p w14:paraId="662D64DD"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9E2B25"/>
                      <w:kern w:val="0"/>
                      <w:sz w:val="14"/>
                      <w:szCs w:val="14"/>
                      <w14:ligatures w14:val="none"/>
                    </w:rPr>
                    <w:t>██████</w:t>
                  </w:r>
                  <w:r w:rsidRPr="003A512F">
                    <w:rPr>
                      <w:rFonts w:ascii="Times New Roman" w:eastAsia="Consolas" w:hAnsi="Times New Roman" w:cs="Times New Roman"/>
                      <w:color w:val="DDE4E8"/>
                      <w:kern w:val="0"/>
                      <w:sz w:val="14"/>
                      <w:szCs w:val="14"/>
                      <w14:ligatures w14:val="none"/>
                    </w:rPr>
                    <w:t>████████████████</w:t>
                  </w:r>
                </w:p>
              </w:tc>
            </w:tr>
            <w:tr w:rsidR="003A512F" w:rsidRPr="003A512F" w14:paraId="513D836A" w14:textId="77777777" w:rsidTr="00B81B5F">
              <w:trPr>
                <w:cantSplit/>
              </w:trPr>
              <w:tc>
                <w:tcPr>
                  <w:tcW w:w="3500" w:type="dxa"/>
                  <w:tcBorders>
                    <w:bottom w:val="single" w:sz="3" w:space="0" w:color="D7DEE2"/>
                  </w:tcBorders>
                  <w:shd w:val="clear" w:color="auto" w:fill="FFFFFF"/>
                  <w:tcMar>
                    <w:top w:w="90" w:type="dxa"/>
                    <w:left w:w="150" w:type="dxa"/>
                    <w:bottom w:w="90" w:type="dxa"/>
                    <w:right w:w="150" w:type="dxa"/>
                  </w:tcMar>
                </w:tcPr>
                <w:p w14:paraId="2B7B7AB4"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12355B"/>
                      <w:kern w:val="0"/>
                      <w:sz w:val="18"/>
                      <w:szCs w:val="18"/>
                      <w14:ligatures w14:val="none"/>
                    </w:rPr>
                    <w:t>Any insurance or prepaid coverage</w:t>
                  </w:r>
                </w:p>
              </w:tc>
              <w:tc>
                <w:tcPr>
                  <w:tcW w:w="2100" w:type="dxa"/>
                  <w:tcBorders>
                    <w:bottom w:val="single" w:sz="3" w:space="0" w:color="D7DEE2"/>
                  </w:tcBorders>
                  <w:shd w:val="clear" w:color="auto" w:fill="FFFFFF"/>
                  <w:tcMar>
                    <w:top w:w="90" w:type="dxa"/>
                    <w:left w:w="150" w:type="dxa"/>
                    <w:bottom w:w="90" w:type="dxa"/>
                    <w:right w:w="150" w:type="dxa"/>
                  </w:tcMar>
                </w:tcPr>
                <w:p w14:paraId="3B1F2515"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1AA3A0"/>
                      <w:kern w:val="0"/>
                      <w:sz w:val="18"/>
                      <w:szCs w:val="18"/>
                      <w14:ligatures w14:val="none"/>
                    </w:rPr>
                    <w:t>0.34</w:t>
                  </w:r>
                  <w:r w:rsidRPr="003A512F">
                    <w:rPr>
                      <w:rFonts w:ascii="Times New Roman" w:eastAsia="Consolas" w:hAnsi="Times New Roman" w:cs="Times New Roman"/>
                      <w:color w:val="4C5C66"/>
                      <w:kern w:val="0"/>
                      <w:sz w:val="15"/>
                      <w:szCs w:val="15"/>
                      <w14:ligatures w14:val="none"/>
                    </w:rPr>
                    <w:t xml:space="preserve">  (0.10–1.17)</w:t>
                  </w:r>
                </w:p>
              </w:tc>
              <w:tc>
                <w:tcPr>
                  <w:tcW w:w="3900" w:type="dxa"/>
                  <w:tcBorders>
                    <w:bottom w:val="single" w:sz="3" w:space="0" w:color="D7DEE2"/>
                  </w:tcBorders>
                  <w:shd w:val="clear" w:color="auto" w:fill="FFFFFF"/>
                  <w:tcMar>
                    <w:top w:w="90" w:type="dxa"/>
                    <w:left w:w="150" w:type="dxa"/>
                    <w:bottom w:w="90" w:type="dxa"/>
                    <w:right w:w="150" w:type="dxa"/>
                  </w:tcMar>
                </w:tcPr>
                <w:p w14:paraId="34DE5A5D"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1AA3A0"/>
                      <w:kern w:val="0"/>
                      <w:sz w:val="14"/>
                      <w:szCs w:val="14"/>
                      <w14:ligatures w14:val="none"/>
                    </w:rPr>
                    <w:t>██</w:t>
                  </w:r>
                  <w:r w:rsidRPr="003A512F">
                    <w:rPr>
                      <w:rFonts w:ascii="Times New Roman" w:eastAsia="Consolas" w:hAnsi="Times New Roman" w:cs="Times New Roman"/>
                      <w:color w:val="DDE4E8"/>
                      <w:kern w:val="0"/>
                      <w:sz w:val="14"/>
                      <w:szCs w:val="14"/>
                      <w14:ligatures w14:val="none"/>
                    </w:rPr>
                    <w:t>████████████████████</w:t>
                  </w:r>
                </w:p>
              </w:tc>
            </w:tr>
            <w:tr w:rsidR="003A512F" w:rsidRPr="003A512F" w14:paraId="259B1AB3" w14:textId="77777777" w:rsidTr="00B81B5F">
              <w:trPr>
                <w:cantSplit/>
              </w:trPr>
              <w:tc>
                <w:tcPr>
                  <w:tcW w:w="3500" w:type="dxa"/>
                  <w:tcBorders>
                    <w:bottom w:val="single" w:sz="3" w:space="0" w:color="D7DEE2"/>
                  </w:tcBorders>
                  <w:shd w:val="clear" w:color="auto" w:fill="FFFFFF"/>
                  <w:tcMar>
                    <w:top w:w="90" w:type="dxa"/>
                    <w:left w:w="150" w:type="dxa"/>
                    <w:bottom w:w="90" w:type="dxa"/>
                    <w:right w:w="150" w:type="dxa"/>
                  </w:tcMar>
                </w:tcPr>
                <w:p w14:paraId="3FE76D59"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12355B"/>
                      <w:kern w:val="0"/>
                      <w:sz w:val="18"/>
                      <w:szCs w:val="18"/>
                      <w14:ligatures w14:val="none"/>
                    </w:rPr>
                    <w:t>Richest wealth quintile</w:t>
                  </w:r>
                </w:p>
              </w:tc>
              <w:tc>
                <w:tcPr>
                  <w:tcW w:w="2100" w:type="dxa"/>
                  <w:tcBorders>
                    <w:bottom w:val="single" w:sz="3" w:space="0" w:color="D7DEE2"/>
                  </w:tcBorders>
                  <w:shd w:val="clear" w:color="auto" w:fill="FFFFFF"/>
                  <w:tcMar>
                    <w:top w:w="90" w:type="dxa"/>
                    <w:left w:w="150" w:type="dxa"/>
                    <w:bottom w:w="90" w:type="dxa"/>
                    <w:right w:w="150" w:type="dxa"/>
                  </w:tcMar>
                </w:tcPr>
                <w:p w14:paraId="2C5AC221"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1AA3A0"/>
                      <w:kern w:val="0"/>
                      <w:sz w:val="18"/>
                      <w:szCs w:val="18"/>
                      <w14:ligatures w14:val="none"/>
                    </w:rPr>
                    <w:t>0.31</w:t>
                  </w:r>
                  <w:r w:rsidRPr="003A512F">
                    <w:rPr>
                      <w:rFonts w:ascii="Times New Roman" w:eastAsia="Consolas" w:hAnsi="Times New Roman" w:cs="Times New Roman"/>
                      <w:color w:val="4C5C66"/>
                      <w:kern w:val="0"/>
                      <w:sz w:val="15"/>
                      <w:szCs w:val="15"/>
                      <w14:ligatures w14:val="none"/>
                    </w:rPr>
                    <w:t xml:space="preserve">  (0.17–0.54)</w:t>
                  </w:r>
                </w:p>
              </w:tc>
              <w:tc>
                <w:tcPr>
                  <w:tcW w:w="3900" w:type="dxa"/>
                  <w:tcBorders>
                    <w:bottom w:val="single" w:sz="3" w:space="0" w:color="D7DEE2"/>
                  </w:tcBorders>
                  <w:shd w:val="clear" w:color="auto" w:fill="FFFFFF"/>
                  <w:tcMar>
                    <w:top w:w="90" w:type="dxa"/>
                    <w:left w:w="150" w:type="dxa"/>
                    <w:bottom w:w="90" w:type="dxa"/>
                    <w:right w:w="150" w:type="dxa"/>
                  </w:tcMar>
                </w:tcPr>
                <w:p w14:paraId="30D63AD0"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color w:val="1AA3A0"/>
                      <w:kern w:val="0"/>
                      <w:sz w:val="14"/>
                      <w:szCs w:val="14"/>
                      <w14:ligatures w14:val="none"/>
                    </w:rPr>
                    <w:t>██</w:t>
                  </w:r>
                  <w:r w:rsidRPr="003A512F">
                    <w:rPr>
                      <w:rFonts w:ascii="Times New Roman" w:eastAsia="Consolas" w:hAnsi="Times New Roman" w:cs="Times New Roman"/>
                      <w:color w:val="DDE4E8"/>
                      <w:kern w:val="0"/>
                      <w:sz w:val="14"/>
                      <w:szCs w:val="14"/>
                      <w14:ligatures w14:val="none"/>
                    </w:rPr>
                    <w:t>████████████████████</w:t>
                  </w:r>
                </w:p>
              </w:tc>
            </w:tr>
          </w:tbl>
          <w:p w14:paraId="4A5C1666" w14:textId="77777777" w:rsidR="003A512F" w:rsidRPr="003A512F" w:rsidRDefault="003A512F" w:rsidP="003A512F">
            <w:pPr>
              <w:spacing w:after="60" w:line="300" w:lineRule="auto"/>
              <w:rPr>
                <w:rFonts w:ascii="Times New Roman" w:eastAsia="Cambria" w:hAnsi="Times New Roman" w:cs="Times New Roman"/>
                <w:color w:val="16222B"/>
                <w:kern w:val="0"/>
                <w:sz w:val="21"/>
                <w:szCs w:val="21"/>
                <w14:ligatures w14:val="none"/>
              </w:rPr>
            </w:pPr>
          </w:p>
          <w:p w14:paraId="49D42AEF"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C9A227"/>
                <w:kern w:val="0"/>
                <w:sz w:val="18"/>
                <w:szCs w:val="18"/>
                <w14:ligatures w14:val="none"/>
              </w:rPr>
              <w:t xml:space="preserve">■ </w:t>
            </w:r>
            <w:r w:rsidRPr="003A512F">
              <w:rPr>
                <w:rFonts w:ascii="Times New Roman" w:eastAsia="Calibri" w:hAnsi="Times New Roman" w:cs="Times New Roman"/>
                <w:color w:val="4C5C66"/>
                <w:kern w:val="0"/>
                <w:sz w:val="16"/>
                <w:szCs w:val="16"/>
                <w14:ligatures w14:val="none"/>
              </w:rPr>
              <w:t xml:space="preserve">dominant driver    </w:t>
            </w:r>
            <w:r w:rsidRPr="003A512F">
              <w:rPr>
                <w:rFonts w:ascii="Times New Roman" w:eastAsia="Calibri" w:hAnsi="Times New Roman" w:cs="Times New Roman"/>
                <w:color w:val="9E2B25"/>
                <w:kern w:val="0"/>
                <w:sz w:val="18"/>
                <w:szCs w:val="18"/>
                <w14:ligatures w14:val="none"/>
              </w:rPr>
              <w:t xml:space="preserve">■ </w:t>
            </w:r>
            <w:r w:rsidRPr="003A512F">
              <w:rPr>
                <w:rFonts w:ascii="Times New Roman" w:eastAsia="Calibri" w:hAnsi="Times New Roman" w:cs="Times New Roman"/>
                <w:color w:val="4C5C66"/>
                <w:kern w:val="0"/>
                <w:sz w:val="16"/>
                <w:szCs w:val="16"/>
                <w14:ligatures w14:val="none"/>
              </w:rPr>
              <w:t xml:space="preserve">raises risk    </w:t>
            </w:r>
            <w:r w:rsidRPr="003A512F">
              <w:rPr>
                <w:rFonts w:ascii="Times New Roman" w:eastAsia="Calibri" w:hAnsi="Times New Roman" w:cs="Times New Roman"/>
                <w:color w:val="1AA3A0"/>
                <w:kern w:val="0"/>
                <w:sz w:val="18"/>
                <w:szCs w:val="18"/>
                <w14:ligatures w14:val="none"/>
              </w:rPr>
              <w:t xml:space="preserve">■ </w:t>
            </w:r>
            <w:r w:rsidRPr="003A512F">
              <w:rPr>
                <w:rFonts w:ascii="Times New Roman" w:eastAsia="Calibri" w:hAnsi="Times New Roman" w:cs="Times New Roman"/>
                <w:color w:val="4C5C66"/>
                <w:kern w:val="0"/>
                <w:sz w:val="16"/>
                <w:szCs w:val="16"/>
                <w14:ligatures w14:val="none"/>
              </w:rPr>
              <w:t>protective</w:t>
            </w:r>
          </w:p>
          <w:p w14:paraId="6B7FF188" w14:textId="77777777" w:rsidR="003A512F" w:rsidRPr="003A512F" w:rsidRDefault="003A512F" w:rsidP="003A512F">
            <w:pPr>
              <w:pBdr>
                <w:top w:val="single" w:sz="4" w:space="8" w:color="D7DEE2"/>
              </w:pBdr>
              <w:spacing w:before="100" w:after="0" w:line="24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i/>
                <w:iCs/>
                <w:color w:val="4C5C66"/>
                <w:kern w:val="0"/>
                <w:sz w:val="16"/>
                <w:szCs w:val="16"/>
                <w14:ligatures w14:val="none"/>
              </w:rPr>
              <w:t>Reference categories: urban residence, poorest quintile, no chronic illness, no facility delivery, uninsured, male-headed. Insurance points strongly in the protective direction but the interval is wide — only 3.3% of households had any coverage at all.</w:t>
            </w:r>
          </w:p>
        </w:tc>
      </w:tr>
    </w:tbl>
    <w:p w14:paraId="13B5C352" w14:textId="77777777" w:rsidR="003A512F" w:rsidRPr="003A512F" w:rsidRDefault="003A512F" w:rsidP="003A512F">
      <w:pPr>
        <w:spacing w:after="360" w:line="300" w:lineRule="auto"/>
        <w:rPr>
          <w:rFonts w:ascii="Times New Roman" w:eastAsia="Cambria" w:hAnsi="Times New Roman" w:cs="Times New Roman"/>
          <w:color w:val="16222B"/>
          <w:kern w:val="0"/>
          <w:sz w:val="21"/>
          <w:szCs w:val="21"/>
          <w14:ligatures w14:val="none"/>
        </w:rPr>
      </w:pPr>
    </w:p>
    <w:p w14:paraId="3F12E7F9" w14:textId="77777777" w:rsidR="003A512F" w:rsidRPr="003A512F" w:rsidRDefault="003A512F" w:rsidP="003A512F">
      <w:pPr>
        <w:spacing w:before="300" w:after="120" w:line="300" w:lineRule="auto"/>
        <w:outlineLvl w:val="1"/>
        <w:rPr>
          <w:rFonts w:ascii="Times New Roman" w:eastAsia="Calibri" w:hAnsi="Times New Roman" w:cs="Times New Roman"/>
          <w:b/>
          <w:bCs/>
          <w:color w:val="12355B"/>
          <w:kern w:val="0"/>
          <w:sz w:val="22"/>
          <w:szCs w:val="22"/>
          <w14:ligatures w14:val="none"/>
        </w:rPr>
      </w:pPr>
      <w:r w:rsidRPr="003A512F">
        <w:rPr>
          <w:rFonts w:ascii="Times New Roman" w:eastAsia="Calibri" w:hAnsi="Times New Roman" w:cs="Times New Roman"/>
          <w:b/>
          <w:bCs/>
          <w:color w:val="12355B"/>
          <w:kern w:val="0"/>
          <w:sz w:val="22"/>
          <w:szCs w:val="22"/>
          <w14:ligatures w14:val="none"/>
        </w:rPr>
        <w:t>The chronic illness trap</w:t>
      </w:r>
    </w:p>
    <w:p w14:paraId="535A045D" w14:textId="77777777" w:rsidR="003A512F" w:rsidRPr="003A512F" w:rsidRDefault="003A512F" w:rsidP="003A512F">
      <w:pPr>
        <w:spacing w:after="2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 xml:space="preserve">A household with a chronically ill member has more than </w:t>
      </w:r>
      <w:r w:rsidRPr="003A512F">
        <w:rPr>
          <w:rFonts w:ascii="Times New Roman" w:eastAsia="Cambria" w:hAnsi="Times New Roman" w:cs="Times New Roman"/>
          <w:b/>
          <w:bCs/>
          <w:color w:val="0A1F3C"/>
          <w:kern w:val="0"/>
          <w:sz w:val="21"/>
          <w:szCs w:val="21"/>
          <w14:ligatures w14:val="none"/>
        </w:rPr>
        <w:t>four times the odds</w:t>
      </w:r>
      <w:r w:rsidRPr="003A512F">
        <w:rPr>
          <w:rFonts w:ascii="Times New Roman" w:eastAsia="Cambria" w:hAnsi="Times New Roman" w:cs="Times New Roman"/>
          <w:color w:val="16222B"/>
          <w:kern w:val="0"/>
          <w:sz w:val="21"/>
          <w:szCs w:val="21"/>
          <w14:ligatures w14:val="none"/>
        </w:rPr>
        <w:t xml:space="preserve"> of catastrophic spending. This is not surprising, but it is decisive. Acute illness is a shock; chronic illness is a subscription. Every month brings the same medicines, the same monitoring, the same transport, the same consultation — and in a system with no prepayment, every month brings the same bill.</w:t>
      </w:r>
    </w:p>
    <w:p w14:paraId="3F663382" w14:textId="77777777" w:rsidR="003A512F" w:rsidRPr="003A512F" w:rsidRDefault="003A512F" w:rsidP="003A512F">
      <w:pPr>
        <w:spacing w:after="26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That is the mechanism behind the medical poverty trap. Illness depletes resources; depletion restricts future access; restricted access worsens the illness. In a system like this, diabetes and hypertension are not just clinical conditions. They are slow-motion financial diagnoses.</w:t>
      </w:r>
    </w:p>
    <w:tbl>
      <w:tblPr>
        <w:tblW w:w="9500" w:type="dxa"/>
        <w:tblInd w:w="3" w:type="dxa"/>
        <w:tblCellMar>
          <w:left w:w="0" w:type="dxa"/>
          <w:right w:w="0" w:type="dxa"/>
        </w:tblCellMar>
        <w:tblLook w:val="04A0" w:firstRow="1" w:lastRow="0" w:firstColumn="1" w:lastColumn="0" w:noHBand="0" w:noVBand="1"/>
      </w:tblPr>
      <w:tblGrid>
        <w:gridCol w:w="9500"/>
      </w:tblGrid>
      <w:tr w:rsidR="00BD08D3" w14:paraId="2B359AEC" w14:textId="77777777">
        <w:tc>
          <w:tcPr>
            <w:tcW w:w="9500" w:type="dxa"/>
            <w:tcBorders>
              <w:top w:val="nil"/>
              <w:left w:val="single" w:sz="18" w:space="0" w:color="C9A227"/>
              <w:bottom w:val="nil"/>
              <w:right w:val="nil"/>
            </w:tcBorders>
            <w:tcMar>
              <w:top w:w="160" w:type="dxa"/>
              <w:left w:w="260" w:type="dxa"/>
              <w:bottom w:w="160" w:type="dxa"/>
              <w:right w:w="120" w:type="dxa"/>
            </w:tcMar>
            <w:hideMark/>
          </w:tcPr>
          <w:p w14:paraId="678317D1" w14:textId="77777777" w:rsidR="00BD08D3" w:rsidRDefault="00BD08D3">
            <w:pPr>
              <w:spacing w:after="0" w:line="300" w:lineRule="auto"/>
              <w:rPr>
                <w:kern w:val="0"/>
                <w14:ligatures w14:val="none"/>
              </w:rPr>
            </w:pPr>
            <w:r>
              <w:rPr>
                <w:rFonts w:ascii="Times New Roman" w:hAnsi="Times New Roman"/>
                <w:i/>
                <w:iCs/>
                <w:color w:val="12355B"/>
                <w:sz w:val="26"/>
                <w:szCs w:val="26"/>
              </w:rPr>
              <w:t>Chronic illness should trigger continuity of care, not a recurring financial crisis.</w:t>
            </w:r>
          </w:p>
        </w:tc>
      </w:tr>
    </w:tbl>
    <w:p w14:paraId="32C79262" w14:textId="77777777" w:rsidR="00BD08D3" w:rsidRDefault="00BD08D3">
      <w:pPr>
        <w:spacing w:after="260" w:line="300" w:lineRule="auto"/>
        <w:rPr>
          <w:kern w:val="0"/>
          <w14:ligatures w14:val="none"/>
        </w:rPr>
      </w:pPr>
    </w:p>
    <w:p w14:paraId="4ED2E641" w14:textId="77777777" w:rsidR="003A512F" w:rsidRPr="003A512F" w:rsidRDefault="003A512F" w:rsidP="003A512F">
      <w:pPr>
        <w:spacing w:before="300" w:after="120" w:line="300" w:lineRule="auto"/>
        <w:outlineLvl w:val="1"/>
        <w:rPr>
          <w:rFonts w:ascii="Times New Roman" w:eastAsia="Calibri" w:hAnsi="Times New Roman" w:cs="Times New Roman"/>
          <w:b/>
          <w:bCs/>
          <w:color w:val="12355B"/>
          <w:kern w:val="0"/>
          <w:sz w:val="22"/>
          <w:szCs w:val="22"/>
          <w14:ligatures w14:val="none"/>
        </w:rPr>
      </w:pPr>
      <w:r w:rsidRPr="003A512F">
        <w:rPr>
          <w:rFonts w:ascii="Times New Roman" w:eastAsia="Calibri" w:hAnsi="Times New Roman" w:cs="Times New Roman"/>
          <w:b/>
          <w:bCs/>
          <w:color w:val="12355B"/>
          <w:kern w:val="0"/>
          <w:sz w:val="22"/>
          <w:szCs w:val="22"/>
          <w14:ligatures w14:val="none"/>
        </w:rPr>
        <w:t>The maternity penalty</w:t>
      </w:r>
    </w:p>
    <w:p w14:paraId="0BD83843" w14:textId="77777777" w:rsidR="003A512F" w:rsidRPr="003A512F" w:rsidRDefault="003A512F" w:rsidP="003A512F">
      <w:pPr>
        <w:spacing w:after="2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 xml:space="preserve">Here is the finding that should trouble health ministries most. A facility-based birth in the previous year </w:t>
      </w:r>
      <w:r w:rsidRPr="003A512F">
        <w:rPr>
          <w:rFonts w:ascii="Times New Roman" w:eastAsia="Cambria" w:hAnsi="Times New Roman" w:cs="Times New Roman"/>
          <w:b/>
          <w:bCs/>
          <w:color w:val="0A1F3C"/>
          <w:kern w:val="0"/>
          <w:sz w:val="21"/>
          <w:szCs w:val="21"/>
          <w14:ligatures w14:val="none"/>
        </w:rPr>
        <w:t>doubles</w:t>
      </w:r>
      <w:r w:rsidRPr="003A512F">
        <w:rPr>
          <w:rFonts w:ascii="Times New Roman" w:eastAsia="Cambria" w:hAnsi="Times New Roman" w:cs="Times New Roman"/>
          <w:color w:val="16222B"/>
          <w:kern w:val="0"/>
          <w:sz w:val="21"/>
          <w:szCs w:val="21"/>
          <w14:ligatures w14:val="none"/>
        </w:rPr>
        <w:t xml:space="preserve"> a household’s odds of catastrophic expenditure.</w:t>
      </w:r>
    </w:p>
    <w:p w14:paraId="00F3245B" w14:textId="77777777" w:rsidR="003A512F" w:rsidRPr="003A512F" w:rsidRDefault="003A512F" w:rsidP="003A512F">
      <w:pPr>
        <w:spacing w:after="30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Consider what that means. Global health policy has spent two decades persuading women to seek skilled birth attendance, and rightly so — it saves lives. Somalia has invested heavily in that message. Yet when a family follows the advice, the system can hand them a bill large enough to sink them.</w:t>
      </w:r>
    </w:p>
    <w:tbl>
      <w:tblPr>
        <w:tblW w:w="9500" w:type="dxa"/>
        <w:tblInd w:w="3" w:type="dxa"/>
        <w:tblCellMar>
          <w:left w:w="10" w:type="dxa"/>
          <w:right w:w="10" w:type="dxa"/>
        </w:tblCellMar>
        <w:tblLook w:val="04A0" w:firstRow="1" w:lastRow="0" w:firstColumn="1" w:lastColumn="0" w:noHBand="0" w:noVBand="1"/>
      </w:tblPr>
      <w:tblGrid>
        <w:gridCol w:w="9500"/>
      </w:tblGrid>
      <w:tr w:rsidR="003A512F" w:rsidRPr="003A512F" w14:paraId="791739C2" w14:textId="77777777" w:rsidTr="00B81B5F">
        <w:tc>
          <w:tcPr>
            <w:tcW w:w="9500" w:type="dxa"/>
            <w:tcBorders>
              <w:left w:val="single" w:sz="18" w:space="0" w:color="C9A227"/>
            </w:tcBorders>
            <w:tcMar>
              <w:top w:w="160" w:type="dxa"/>
              <w:left w:w="260" w:type="dxa"/>
              <w:bottom w:w="160" w:type="dxa"/>
              <w:right w:w="120" w:type="dxa"/>
            </w:tcMar>
          </w:tcPr>
          <w:p w14:paraId="0AC66B83"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i/>
                <w:iCs/>
                <w:color w:val="12355B"/>
                <w:kern w:val="0"/>
                <w:sz w:val="26"/>
                <w:szCs w:val="26"/>
                <w14:ligatures w14:val="none"/>
              </w:rPr>
              <w:t>We ask women to deliver in facilities. Then we charge them for complying. That is not a financing detail; it is a contradiction at the centre of maternal health policy.</w:t>
            </w:r>
          </w:p>
        </w:tc>
      </w:tr>
    </w:tbl>
    <w:p w14:paraId="0B0FC386" w14:textId="77777777" w:rsidR="003A512F" w:rsidRPr="003A512F" w:rsidRDefault="003A512F" w:rsidP="003A512F">
      <w:pPr>
        <w:spacing w:after="300" w:line="300" w:lineRule="auto"/>
        <w:rPr>
          <w:rFonts w:ascii="Times New Roman" w:eastAsia="Cambria" w:hAnsi="Times New Roman" w:cs="Times New Roman"/>
          <w:color w:val="16222B"/>
          <w:kern w:val="0"/>
          <w:sz w:val="21"/>
          <w:szCs w:val="21"/>
          <w14:ligatures w14:val="none"/>
        </w:rPr>
      </w:pPr>
    </w:p>
    <w:p w14:paraId="76CCA718" w14:textId="77777777" w:rsidR="003A512F" w:rsidRPr="003A512F" w:rsidRDefault="003A512F" w:rsidP="003A512F">
      <w:pPr>
        <w:spacing w:after="26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Evidence from across low- and middle-income countries is consistent: removing user fees for maternal services raises utilisation and improves financial protection simultaneously. There are few cheaper wins available.</w:t>
      </w:r>
    </w:p>
    <w:p w14:paraId="2433457F" w14:textId="77777777" w:rsidR="003A512F" w:rsidRPr="003A512F" w:rsidRDefault="003A512F" w:rsidP="003A512F">
      <w:pPr>
        <w:spacing w:before="300" w:after="120" w:line="300" w:lineRule="auto"/>
        <w:outlineLvl w:val="1"/>
        <w:rPr>
          <w:rFonts w:ascii="Times New Roman" w:eastAsia="Calibri" w:hAnsi="Times New Roman" w:cs="Times New Roman"/>
          <w:b/>
          <w:bCs/>
          <w:color w:val="12355B"/>
          <w:kern w:val="0"/>
          <w:sz w:val="22"/>
          <w:szCs w:val="22"/>
          <w14:ligatures w14:val="none"/>
        </w:rPr>
      </w:pPr>
      <w:r w:rsidRPr="003A512F">
        <w:rPr>
          <w:rFonts w:ascii="Times New Roman" w:eastAsia="Calibri" w:hAnsi="Times New Roman" w:cs="Times New Roman"/>
          <w:b/>
          <w:bCs/>
          <w:color w:val="12355B"/>
          <w:kern w:val="0"/>
          <w:sz w:val="22"/>
          <w:szCs w:val="22"/>
          <w14:ligatures w14:val="none"/>
        </w:rPr>
        <w:t>Who is holding the household together</w:t>
      </w:r>
    </w:p>
    <w:p w14:paraId="5DFDE3B0" w14:textId="77777777" w:rsidR="003A512F" w:rsidRPr="003A512F" w:rsidRDefault="003A512F" w:rsidP="003A512F">
      <w:pPr>
        <w:spacing w:after="34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 xml:space="preserve">Female-headed households carry </w:t>
      </w:r>
      <w:r w:rsidRPr="003A512F">
        <w:rPr>
          <w:rFonts w:ascii="Times New Roman" w:eastAsia="Cambria" w:hAnsi="Times New Roman" w:cs="Times New Roman"/>
          <w:b/>
          <w:bCs/>
          <w:color w:val="0A1F3C"/>
          <w:kern w:val="0"/>
          <w:sz w:val="21"/>
          <w:szCs w:val="21"/>
          <w14:ligatures w14:val="none"/>
        </w:rPr>
        <w:t>44% higher odds</w:t>
      </w:r>
      <w:r w:rsidRPr="003A512F">
        <w:rPr>
          <w:rFonts w:ascii="Times New Roman" w:eastAsia="Cambria" w:hAnsi="Times New Roman" w:cs="Times New Roman"/>
          <w:color w:val="16222B"/>
          <w:kern w:val="0"/>
          <w:sz w:val="21"/>
          <w:szCs w:val="21"/>
          <w14:ligatures w14:val="none"/>
        </w:rPr>
        <w:t xml:space="preserve"> of catastrophe. Each additional household member adds 11%. These are not exotic risk factors — they describe an enormous share of the Somali population, and they compound. In displacement settlements, 55% of households are female-headed and 62% sit in the poorest quintile. The vulnerabilities stack.</w:t>
      </w:r>
    </w:p>
    <w:p w14:paraId="7014CCDF" w14:textId="77777777" w:rsidR="003A512F" w:rsidRPr="003A512F" w:rsidRDefault="003A512F" w:rsidP="003A512F">
      <w:pPr>
        <w:spacing w:before="360" w:after="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CONSEQUENCES</w:t>
      </w:r>
    </w:p>
    <w:p w14:paraId="69048377" w14:textId="77777777" w:rsidR="003A512F" w:rsidRPr="003A512F" w:rsidRDefault="003A512F" w:rsidP="003A512F">
      <w:pPr>
        <w:spacing w:after="220" w:line="300" w:lineRule="auto"/>
        <w:outlineLvl w:val="0"/>
        <w:rPr>
          <w:rFonts w:ascii="Times New Roman" w:eastAsia="Cambria" w:hAnsi="Times New Roman" w:cs="Times New Roman"/>
          <w:b/>
          <w:bCs/>
          <w:color w:val="0A1F3C"/>
          <w:kern w:val="0"/>
          <w:sz w:val="30"/>
          <w:szCs w:val="30"/>
          <w14:ligatures w14:val="none"/>
        </w:rPr>
      </w:pPr>
      <w:r w:rsidRPr="003A512F">
        <w:rPr>
          <w:rFonts w:ascii="Times New Roman" w:eastAsia="Cambria" w:hAnsi="Times New Roman" w:cs="Times New Roman"/>
          <w:b/>
          <w:bCs/>
          <w:color w:val="0A1F3C"/>
          <w:kern w:val="0"/>
          <w:sz w:val="30"/>
          <w:szCs w:val="30"/>
          <w14:ligatures w14:val="none"/>
        </w:rPr>
        <w:t>What families do when the bill arrives</w:t>
      </w:r>
    </w:p>
    <w:p w14:paraId="6D346131" w14:textId="77777777" w:rsidR="003A512F" w:rsidRPr="003A512F" w:rsidRDefault="003A512F" w:rsidP="003A512F">
      <w:pPr>
        <w:spacing w:after="3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Catastrophic expenditure is a threshold crossed. Impoverishment is what happens on the other side.</w:t>
      </w:r>
    </w:p>
    <w:tbl>
      <w:tblPr>
        <w:tblW w:w="9500" w:type="dxa"/>
        <w:tblCellMar>
          <w:left w:w="10" w:type="dxa"/>
          <w:right w:w="10" w:type="dxa"/>
        </w:tblCellMar>
        <w:tblLook w:val="04A0" w:firstRow="1" w:lastRow="0" w:firstColumn="1" w:lastColumn="0" w:noHBand="0" w:noVBand="1"/>
      </w:tblPr>
      <w:tblGrid>
        <w:gridCol w:w="9500"/>
      </w:tblGrid>
      <w:tr w:rsidR="003A512F" w:rsidRPr="003A512F" w14:paraId="11B0135B" w14:textId="77777777" w:rsidTr="00B81B5F">
        <w:trPr>
          <w:cantSplit/>
        </w:trPr>
        <w:tc>
          <w:tcPr>
            <w:tcW w:w="9500" w:type="dxa"/>
            <w:shd w:val="clear" w:color="auto" w:fill="156082" w:themeFill="accent1"/>
            <w:tcMar>
              <w:top w:w="200" w:type="dxa"/>
              <w:left w:w="260" w:type="dxa"/>
              <w:bottom w:w="200" w:type="dxa"/>
              <w:right w:w="260" w:type="dxa"/>
            </w:tcMar>
          </w:tcPr>
          <w:p w14:paraId="0D818366" w14:textId="77777777" w:rsidR="003A512F" w:rsidRPr="003A512F" w:rsidRDefault="003A512F" w:rsidP="003A512F">
            <w:pPr>
              <w:keepNext/>
              <w:spacing w:after="7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THE POVERTY LINE</w:t>
            </w:r>
          </w:p>
          <w:p w14:paraId="3C9A976D" w14:textId="77777777" w:rsidR="003A512F" w:rsidRPr="003A512F" w:rsidRDefault="003A512F" w:rsidP="003A512F">
            <w:pPr>
              <w:keepNext/>
              <w:spacing w:after="0" w:line="26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FFFFFF"/>
                <w:kern w:val="0"/>
                <w:sz w:val="25"/>
                <w:szCs w:val="25"/>
                <w14:ligatures w14:val="none"/>
              </w:rPr>
              <w:t>Paying for care pushed 4.6% of households below the poverty line.</w:t>
            </w:r>
          </w:p>
        </w:tc>
      </w:tr>
      <w:tr w:rsidR="003A512F" w:rsidRPr="003A512F" w14:paraId="7B68FD9A" w14:textId="77777777" w:rsidTr="00B81B5F">
        <w:trPr>
          <w:cantSplit/>
        </w:trPr>
        <w:tc>
          <w:tcPr>
            <w:tcW w:w="9500" w:type="dxa"/>
            <w:shd w:val="clear" w:color="auto" w:fill="F2F6F7"/>
            <w:tcMar>
              <w:top w:w="240" w:type="dxa"/>
              <w:left w:w="260" w:type="dxa"/>
              <w:bottom w:w="220" w:type="dxa"/>
              <w:right w:w="260" w:type="dxa"/>
            </w:tcMar>
          </w:tcPr>
          <w:p w14:paraId="2AE34CF9" w14:textId="77777777" w:rsidR="003A512F" w:rsidRPr="003A512F" w:rsidRDefault="003A512F" w:rsidP="003A512F">
            <w:pPr>
              <w:spacing w:after="60" w:line="26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B9C6CE"/>
                <w:spacing w:val="34"/>
                <w:kern w:val="0"/>
                <w:sz w:val="17"/>
                <w:szCs w:val="17"/>
                <w14:ligatures w14:val="none"/>
              </w:rPr>
              <w:t>●●●●●●●●●●●●●●●●●●●●●●●●●●●●●●●●●●●●●●●●●●●●●●●●●●●</w:t>
            </w:r>
          </w:p>
          <w:p w14:paraId="6D0CA7CC" w14:textId="77777777" w:rsidR="003A512F" w:rsidRPr="003A512F" w:rsidRDefault="003A512F" w:rsidP="003A512F">
            <w:pPr>
              <w:spacing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7"/>
                <w:szCs w:val="17"/>
                <w14:ligatures w14:val="none"/>
              </w:rPr>
              <w:t>51 households</w:t>
            </w:r>
            <w:r w:rsidRPr="003A512F">
              <w:rPr>
                <w:rFonts w:ascii="Times New Roman" w:eastAsia="Calibri" w:hAnsi="Times New Roman" w:cs="Times New Roman"/>
                <w:color w:val="4C5C66"/>
                <w:kern w:val="0"/>
                <w:sz w:val="17"/>
                <w:szCs w:val="17"/>
                <w14:ligatures w14:val="none"/>
              </w:rPr>
              <w:t xml:space="preserve"> remain above the poverty line after paying for care.</w:t>
            </w:r>
          </w:p>
          <w:p w14:paraId="198E37EB" w14:textId="77777777" w:rsidR="003A512F" w:rsidRPr="003A512F" w:rsidRDefault="003A512F" w:rsidP="003A512F">
            <w:pPr>
              <w:pBdr>
                <w:bottom w:val="single" w:sz="8" w:space="4" w:color="C9A227"/>
              </w:pBdr>
              <w:spacing w:before="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7A5F0F"/>
                <w:spacing w:val="80"/>
                <w:kern w:val="0"/>
                <w:sz w:val="14"/>
                <w:szCs w:val="14"/>
                <w14:ligatures w14:val="none"/>
              </w:rPr>
              <w:t>POVERTY LINE</w:t>
            </w:r>
          </w:p>
          <w:p w14:paraId="00040120" w14:textId="77777777" w:rsidR="003A512F" w:rsidRPr="003A512F" w:rsidRDefault="003A512F" w:rsidP="003A512F">
            <w:pPr>
              <w:spacing w:after="60" w:line="26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C9A227"/>
                <w:spacing w:val="34"/>
                <w:kern w:val="0"/>
                <w:sz w:val="17"/>
                <w:szCs w:val="17"/>
                <w14:ligatures w14:val="none"/>
              </w:rPr>
              <w:t>●●●●●</w:t>
            </w:r>
          </w:p>
          <w:p w14:paraId="34ABD86E" w14:textId="77777777" w:rsidR="003A512F" w:rsidRPr="003A512F" w:rsidRDefault="003A512F" w:rsidP="003A512F">
            <w:pPr>
              <w:spacing w:after="20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7"/>
                <w:szCs w:val="17"/>
                <w14:ligatures w14:val="none"/>
              </w:rPr>
              <w:t>Nearly 5 households</w:t>
            </w:r>
            <w:r w:rsidRPr="003A512F">
              <w:rPr>
                <w:rFonts w:ascii="Times New Roman" w:eastAsia="Calibri" w:hAnsi="Times New Roman" w:cs="Times New Roman"/>
                <w:color w:val="4C5C66"/>
                <w:kern w:val="0"/>
                <w:sz w:val="17"/>
                <w:szCs w:val="17"/>
                <w14:ligatures w14:val="none"/>
              </w:rPr>
              <w:t xml:space="preserve"> were above the line before illness and fell below it because they paid for health care.</w:t>
            </w:r>
          </w:p>
          <w:p w14:paraId="3F9AC975" w14:textId="77777777" w:rsidR="003A512F" w:rsidRPr="003A512F" w:rsidRDefault="003A512F" w:rsidP="003A512F">
            <w:pPr>
              <w:spacing w:after="60" w:line="26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33506E"/>
                <w:spacing w:val="34"/>
                <w:kern w:val="0"/>
                <w:sz w:val="17"/>
                <w:szCs w:val="17"/>
                <w14:ligatures w14:val="none"/>
              </w:rPr>
              <w:t>●●●●●●●●●●●●●●●●●●●●●●●●●●●●●●●●●●●●●●●●●●●●</w:t>
            </w:r>
          </w:p>
          <w:p w14:paraId="302F5879"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12355B"/>
                <w:kern w:val="0"/>
                <w:sz w:val="17"/>
                <w:szCs w:val="17"/>
                <w14:ligatures w14:val="none"/>
              </w:rPr>
              <w:t>44 households</w:t>
            </w:r>
            <w:r w:rsidRPr="003A512F">
              <w:rPr>
                <w:rFonts w:ascii="Times New Roman" w:eastAsia="Calibri" w:hAnsi="Times New Roman" w:cs="Times New Roman"/>
                <w:color w:val="4C5C66"/>
                <w:kern w:val="0"/>
                <w:sz w:val="17"/>
                <w:szCs w:val="17"/>
                <w14:ligatures w14:val="none"/>
              </w:rPr>
              <w:t xml:space="preserve"> were already below the line before any health payment was made.</w:t>
            </w:r>
          </w:p>
          <w:p w14:paraId="2361D65A" w14:textId="77777777" w:rsidR="003A512F" w:rsidRPr="003A512F" w:rsidRDefault="003A512F" w:rsidP="003A512F">
            <w:pPr>
              <w:pBdr>
                <w:top w:val="single" w:sz="4" w:space="8" w:color="D7DEE2"/>
              </w:pBdr>
              <w:spacing w:before="100" w:after="0" w:line="24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i/>
                <w:iCs/>
                <w:color w:val="4C5C66"/>
                <w:kern w:val="0"/>
                <w:sz w:val="16"/>
                <w:szCs w:val="16"/>
                <w14:ligatures w14:val="none"/>
              </w:rPr>
              <w:t>Each dot is one household in 100. Poverty headcount rises from 44.4% before out-of-pocket payments to 49.0% after them. Because so many households start below the line, this understates the true welfare loss — you cannot be impoverished twice, but you can certainly be pushed deeper.</w:t>
            </w:r>
          </w:p>
        </w:tc>
      </w:tr>
    </w:tbl>
    <w:p w14:paraId="05D60505" w14:textId="77777777" w:rsidR="003A512F" w:rsidRPr="003A512F" w:rsidRDefault="003A512F" w:rsidP="003A512F">
      <w:pPr>
        <w:spacing w:after="340" w:line="300" w:lineRule="auto"/>
        <w:rPr>
          <w:rFonts w:ascii="Times New Roman" w:eastAsia="Cambria" w:hAnsi="Times New Roman" w:cs="Times New Roman"/>
          <w:color w:val="16222B"/>
          <w:kern w:val="0"/>
          <w:sz w:val="21"/>
          <w:szCs w:val="21"/>
          <w14:ligatures w14:val="none"/>
        </w:rPr>
      </w:pPr>
    </w:p>
    <w:p w14:paraId="7E8B3EE5" w14:textId="77777777" w:rsidR="003A512F" w:rsidRPr="003A512F" w:rsidRDefault="003A512F" w:rsidP="003A512F">
      <w:pPr>
        <w:spacing w:after="2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 xml:space="preserve">And these are only the households the poverty line can see. Ask how the bill was paid and a second, larger picture emerges: among households that spent catastrophically, roughly </w:t>
      </w:r>
      <w:r w:rsidRPr="003A512F">
        <w:rPr>
          <w:rFonts w:ascii="Times New Roman" w:eastAsia="Cambria" w:hAnsi="Times New Roman" w:cs="Times New Roman"/>
          <w:b/>
          <w:bCs/>
          <w:color w:val="0A1F3C"/>
          <w:kern w:val="0"/>
          <w:sz w:val="21"/>
          <w:szCs w:val="21"/>
          <w14:ligatures w14:val="none"/>
        </w:rPr>
        <w:t>60% financed care through distress</w:t>
      </w:r>
      <w:r w:rsidRPr="003A512F">
        <w:rPr>
          <w:rFonts w:ascii="Times New Roman" w:eastAsia="Cambria" w:hAnsi="Times New Roman" w:cs="Times New Roman"/>
          <w:color w:val="16222B"/>
          <w:kern w:val="0"/>
          <w:sz w:val="21"/>
          <w:szCs w:val="21"/>
          <w14:ligatures w14:val="none"/>
        </w:rPr>
        <w:t xml:space="preserve"> — selling livestock or productive assets, borrowing from relatives, taking credit from merchants, accumulating debt.</w:t>
      </w:r>
    </w:p>
    <w:p w14:paraId="3EF8CC3B" w14:textId="77777777" w:rsidR="003A512F" w:rsidRPr="003A512F" w:rsidRDefault="003A512F" w:rsidP="003A512F">
      <w:pPr>
        <w:spacing w:after="32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Distress financing is not a coping strategy. It is a transfer of cost from the present to the future. Livestock sold today is income foregone for years. Debt taken at the clinic door is a claim on every harvest that follows. For a displaced household with nothing to sell, the adjustment happens in the only account left: food, school, delay, or simply not going.</w:t>
      </w:r>
    </w:p>
    <w:tbl>
      <w:tblPr>
        <w:tblW w:w="9500" w:type="dxa"/>
        <w:tblInd w:w="3" w:type="dxa"/>
        <w:tblCellMar>
          <w:left w:w="0" w:type="dxa"/>
          <w:right w:w="0" w:type="dxa"/>
        </w:tblCellMar>
        <w:tblLook w:val="04A0" w:firstRow="1" w:lastRow="0" w:firstColumn="1" w:lastColumn="0" w:noHBand="0" w:noVBand="1"/>
      </w:tblPr>
      <w:tblGrid>
        <w:gridCol w:w="25"/>
        <w:gridCol w:w="2343"/>
        <w:gridCol w:w="2369"/>
        <w:gridCol w:w="2369"/>
        <w:gridCol w:w="2368"/>
        <w:gridCol w:w="26"/>
      </w:tblGrid>
      <w:tr w:rsidR="00BD08D3" w14:paraId="4D8E01E2" w14:textId="77777777">
        <w:trPr>
          <w:gridBefore w:val="1"/>
          <w:wBefore w:w="26" w:type="dxa"/>
        </w:trPr>
        <w:tc>
          <w:tcPr>
            <w:tcW w:w="9500" w:type="dxa"/>
            <w:gridSpan w:val="5"/>
            <w:tcBorders>
              <w:top w:val="nil"/>
              <w:left w:val="single" w:sz="18" w:space="0" w:color="C9A227"/>
              <w:bottom w:val="nil"/>
              <w:right w:val="nil"/>
            </w:tcBorders>
            <w:tcMar>
              <w:top w:w="160" w:type="dxa"/>
              <w:left w:w="260" w:type="dxa"/>
              <w:bottom w:w="160" w:type="dxa"/>
              <w:right w:w="120" w:type="dxa"/>
            </w:tcMar>
            <w:hideMark/>
          </w:tcPr>
          <w:p w14:paraId="56C137FE" w14:textId="77777777" w:rsidR="00BD08D3" w:rsidRDefault="00BD08D3">
            <w:pPr>
              <w:spacing w:after="0" w:line="300" w:lineRule="auto"/>
              <w:rPr>
                <w:kern w:val="0"/>
                <w14:ligatures w14:val="none"/>
              </w:rPr>
            </w:pPr>
            <w:r>
              <w:rPr>
                <w:rFonts w:ascii="Times New Roman" w:hAnsi="Times New Roman"/>
                <w:i/>
                <w:iCs/>
                <w:color w:val="12355B"/>
                <w:sz w:val="26"/>
                <w:szCs w:val="26"/>
              </w:rPr>
              <w:t>Distress financing does not pay the bill; it postpones the bill into the next harvest, the next school term, and the next illness.</w:t>
            </w:r>
          </w:p>
        </w:tc>
      </w:tr>
      <w:tr w:rsidR="003A512F" w:rsidRPr="003A512F" w14:paraId="6112B910" w14:textId="77777777" w:rsidTr="00B81B5F">
        <w:tblPrEx>
          <w:tblCellMar>
            <w:left w:w="10" w:type="dxa"/>
            <w:right w:w="10" w:type="dxa"/>
          </w:tblCellMar>
        </w:tblPrEx>
        <w:trPr>
          <w:gridAfter w:val="1"/>
          <w:wAfter w:w="26" w:type="dxa"/>
        </w:trPr>
        <w:tc>
          <w:tcPr>
            <w:tcW w:w="2375" w:type="dxa"/>
            <w:gridSpan w:val="2"/>
            <w:tcBorders>
              <w:top w:val="single" w:sz="12" w:space="0" w:color="0F7A78"/>
            </w:tcBorders>
            <w:shd w:val="clear" w:color="auto" w:fill="F2F6F7"/>
            <w:tcMar>
              <w:top w:w="180" w:type="dxa"/>
              <w:left w:w="160" w:type="dxa"/>
              <w:bottom w:w="180" w:type="dxa"/>
              <w:right w:w="160" w:type="dxa"/>
            </w:tcMar>
          </w:tcPr>
          <w:p w14:paraId="682FAB3C" w14:textId="77777777" w:rsidR="00BD08D3" w:rsidRDefault="00BD08D3">
            <w:pPr>
              <w:spacing w:after="320" w:line="300" w:lineRule="auto"/>
              <w:rPr>
                <w:kern w:val="0"/>
                <w14:ligatures w14:val="none"/>
              </w:rPr>
            </w:pPr>
          </w:p>
          <w:p w14:paraId="69BFC2A1" w14:textId="77777777" w:rsidR="003A512F" w:rsidRPr="003A512F" w:rsidRDefault="003A512F" w:rsidP="003A512F">
            <w:pPr>
              <w:spacing w:after="7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0A1F3C"/>
                <w:kern w:val="0"/>
                <w:sz w:val="34"/>
                <w:szCs w:val="34"/>
                <w14:ligatures w14:val="none"/>
              </w:rPr>
              <w:t>45</w:t>
            </w:r>
            <w:r w:rsidRPr="003A512F">
              <w:rPr>
                <w:rFonts w:ascii="Times New Roman" w:eastAsia="Consolas" w:hAnsi="Times New Roman" w:cs="Times New Roman"/>
                <w:b/>
                <w:bCs/>
                <w:color w:val="0F7A78"/>
                <w:kern w:val="0"/>
                <w:sz w:val="20"/>
                <w:szCs w:val="20"/>
                <w14:ligatures w14:val="none"/>
              </w:rPr>
              <w:t>%</w:t>
            </w:r>
          </w:p>
          <w:p w14:paraId="7C9A9A76" w14:textId="77777777" w:rsidR="003A512F" w:rsidRPr="003A512F" w:rsidRDefault="003A512F" w:rsidP="003A512F">
            <w:pPr>
              <w:spacing w:after="0" w:line="22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of health spending in Somalia comes straight from households</w:t>
            </w:r>
          </w:p>
        </w:tc>
        <w:tc>
          <w:tcPr>
            <w:tcW w:w="2375" w:type="dxa"/>
            <w:tcBorders>
              <w:top w:val="single" w:sz="12" w:space="0" w:color="0F7A78"/>
              <w:left w:val="single" w:sz="4" w:space="0" w:color="FFFFFF"/>
            </w:tcBorders>
            <w:shd w:val="clear" w:color="auto" w:fill="F2F6F7"/>
            <w:tcMar>
              <w:top w:w="180" w:type="dxa"/>
              <w:left w:w="160" w:type="dxa"/>
              <w:bottom w:w="180" w:type="dxa"/>
              <w:right w:w="160" w:type="dxa"/>
            </w:tcMar>
          </w:tcPr>
          <w:p w14:paraId="5224AA5C" w14:textId="77777777" w:rsidR="003A512F" w:rsidRPr="003A512F" w:rsidRDefault="003A512F" w:rsidP="003A512F">
            <w:pPr>
              <w:spacing w:after="7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0A1F3C"/>
                <w:kern w:val="0"/>
                <w:sz w:val="34"/>
                <w:szCs w:val="34"/>
                <w14:ligatures w14:val="none"/>
              </w:rPr>
              <w:t>3.3</w:t>
            </w:r>
            <w:r w:rsidRPr="003A512F">
              <w:rPr>
                <w:rFonts w:ascii="Times New Roman" w:eastAsia="Consolas" w:hAnsi="Times New Roman" w:cs="Times New Roman"/>
                <w:b/>
                <w:bCs/>
                <w:color w:val="0F7A78"/>
                <w:kern w:val="0"/>
                <w:sz w:val="20"/>
                <w:szCs w:val="20"/>
                <w14:ligatures w14:val="none"/>
              </w:rPr>
              <w:t>%</w:t>
            </w:r>
          </w:p>
          <w:p w14:paraId="63A8713F" w14:textId="77777777" w:rsidR="003A512F" w:rsidRPr="003A512F" w:rsidRDefault="003A512F" w:rsidP="003A512F">
            <w:pPr>
              <w:spacing w:after="0" w:line="22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of households have any insurance or prepaid coverage</w:t>
            </w:r>
          </w:p>
        </w:tc>
        <w:tc>
          <w:tcPr>
            <w:tcW w:w="2375" w:type="dxa"/>
            <w:tcBorders>
              <w:top w:val="single" w:sz="12" w:space="0" w:color="0F7A78"/>
              <w:left w:val="single" w:sz="4" w:space="0" w:color="FFFFFF"/>
            </w:tcBorders>
            <w:shd w:val="clear" w:color="auto" w:fill="F2F6F7"/>
            <w:tcMar>
              <w:top w:w="180" w:type="dxa"/>
              <w:left w:w="160" w:type="dxa"/>
              <w:bottom w:w="180" w:type="dxa"/>
              <w:right w:w="160" w:type="dxa"/>
            </w:tcMar>
          </w:tcPr>
          <w:p w14:paraId="500D7852" w14:textId="77777777" w:rsidR="003A512F" w:rsidRPr="003A512F" w:rsidRDefault="003A512F" w:rsidP="003A512F">
            <w:pPr>
              <w:spacing w:after="7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0A1F3C"/>
                <w:kern w:val="0"/>
                <w:sz w:val="34"/>
                <w:szCs w:val="34"/>
                <w14:ligatures w14:val="none"/>
              </w:rPr>
              <w:t>60</w:t>
            </w:r>
            <w:r w:rsidRPr="003A512F">
              <w:rPr>
                <w:rFonts w:ascii="Times New Roman" w:eastAsia="Consolas" w:hAnsi="Times New Roman" w:cs="Times New Roman"/>
                <w:b/>
                <w:bCs/>
                <w:color w:val="0F7A78"/>
                <w:kern w:val="0"/>
                <w:sz w:val="20"/>
                <w:szCs w:val="20"/>
                <w14:ligatures w14:val="none"/>
              </w:rPr>
              <w:t>%</w:t>
            </w:r>
          </w:p>
          <w:p w14:paraId="2FCDB3FD" w14:textId="77777777" w:rsidR="003A512F" w:rsidRPr="003A512F" w:rsidRDefault="003A512F" w:rsidP="003A512F">
            <w:pPr>
              <w:spacing w:after="0" w:line="22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of catastrophe-hit households sold assets or borrowed</w:t>
            </w:r>
          </w:p>
        </w:tc>
        <w:tc>
          <w:tcPr>
            <w:tcW w:w="2375" w:type="dxa"/>
            <w:tcBorders>
              <w:top w:val="single" w:sz="12" w:space="0" w:color="0F7A78"/>
              <w:left w:val="single" w:sz="4" w:space="0" w:color="FFFFFF"/>
            </w:tcBorders>
            <w:shd w:val="clear" w:color="auto" w:fill="F2F6F7"/>
            <w:tcMar>
              <w:top w:w="180" w:type="dxa"/>
              <w:left w:w="160" w:type="dxa"/>
              <w:bottom w:w="180" w:type="dxa"/>
              <w:right w:w="160" w:type="dxa"/>
            </w:tcMar>
          </w:tcPr>
          <w:p w14:paraId="017EAE5B" w14:textId="77777777" w:rsidR="003A512F" w:rsidRPr="003A512F" w:rsidRDefault="003A512F" w:rsidP="003A512F">
            <w:pPr>
              <w:spacing w:after="7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0A1F3C"/>
                <w:kern w:val="0"/>
                <w:sz w:val="34"/>
                <w:szCs w:val="34"/>
                <w14:ligatures w14:val="none"/>
              </w:rPr>
              <w:t>4.6</w:t>
            </w:r>
            <w:r w:rsidRPr="003A512F">
              <w:rPr>
                <w:rFonts w:ascii="Times New Roman" w:eastAsia="Consolas" w:hAnsi="Times New Roman" w:cs="Times New Roman"/>
                <w:b/>
                <w:bCs/>
                <w:color w:val="0F7A78"/>
                <w:kern w:val="0"/>
                <w:sz w:val="20"/>
                <w:szCs w:val="20"/>
                <w14:ligatures w14:val="none"/>
              </w:rPr>
              <w:t>pp</w:t>
            </w:r>
          </w:p>
          <w:p w14:paraId="73F38A6F" w14:textId="77777777" w:rsidR="003A512F" w:rsidRPr="003A512F" w:rsidRDefault="003A512F" w:rsidP="003A512F">
            <w:pPr>
              <w:spacing w:after="0" w:line="22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6"/>
                <w:szCs w:val="16"/>
                <w14:ligatures w14:val="none"/>
              </w:rPr>
              <w:t>rise in poverty caused by paying for health care</w:t>
            </w:r>
          </w:p>
        </w:tc>
      </w:tr>
    </w:tbl>
    <w:p w14:paraId="2652800B" w14:textId="77777777" w:rsidR="003A512F" w:rsidRPr="003A512F" w:rsidRDefault="003A512F" w:rsidP="003A512F">
      <w:pPr>
        <w:spacing w:after="360" w:line="300" w:lineRule="auto"/>
        <w:rPr>
          <w:rFonts w:ascii="Times New Roman" w:eastAsia="Cambria" w:hAnsi="Times New Roman" w:cs="Times New Roman"/>
          <w:color w:val="16222B"/>
          <w:kern w:val="0"/>
          <w:sz w:val="21"/>
          <w:szCs w:val="21"/>
          <w14:ligatures w14:val="none"/>
        </w:rPr>
      </w:pPr>
    </w:p>
    <w:tbl>
      <w:tblPr>
        <w:tblW w:w="9500" w:type="dxa"/>
        <w:tblInd w:w="3" w:type="dxa"/>
        <w:tblCellMar>
          <w:left w:w="10" w:type="dxa"/>
          <w:right w:w="10" w:type="dxa"/>
        </w:tblCellMar>
        <w:tblLook w:val="04A0" w:firstRow="1" w:lastRow="0" w:firstColumn="1" w:lastColumn="0" w:noHBand="0" w:noVBand="1"/>
      </w:tblPr>
      <w:tblGrid>
        <w:gridCol w:w="9500"/>
      </w:tblGrid>
      <w:tr w:rsidR="003A512F" w:rsidRPr="003A512F" w14:paraId="5BD6CAEC" w14:textId="77777777" w:rsidTr="00B81B5F">
        <w:tc>
          <w:tcPr>
            <w:tcW w:w="9500" w:type="dxa"/>
            <w:tcBorders>
              <w:left w:val="single" w:sz="18" w:space="0" w:color="C9A227"/>
            </w:tcBorders>
            <w:shd w:val="clear" w:color="auto" w:fill="FBF4DC"/>
            <w:tcMar>
              <w:top w:w="240" w:type="dxa"/>
              <w:left w:w="280" w:type="dxa"/>
              <w:bottom w:w="240" w:type="dxa"/>
              <w:right w:w="280" w:type="dxa"/>
            </w:tcMar>
          </w:tcPr>
          <w:p w14:paraId="4606E8AF" w14:textId="77777777" w:rsidR="003A512F" w:rsidRPr="003A512F" w:rsidRDefault="003A512F" w:rsidP="003A512F">
            <w:pPr>
              <w:spacing w:after="140" w:line="300" w:lineRule="auto"/>
              <w:rPr>
                <w:rFonts w:ascii="Times New Roman" w:eastAsia="Calibri" w:hAnsi="Times New Roman" w:cs="Times New Roman"/>
                <w:b/>
                <w:bCs/>
                <w:color w:val="7A5F0F"/>
                <w:spacing w:val="70"/>
                <w:kern w:val="0"/>
                <w:sz w:val="15"/>
                <w:szCs w:val="15"/>
                <w14:ligatures w14:val="none"/>
              </w:rPr>
            </w:pPr>
            <w:r w:rsidRPr="003A512F">
              <w:rPr>
                <w:rFonts w:ascii="Times New Roman" w:eastAsia="Calibri" w:hAnsi="Times New Roman" w:cs="Times New Roman"/>
                <w:b/>
                <w:bCs/>
                <w:color w:val="7A5F0F"/>
                <w:spacing w:val="70"/>
                <w:kern w:val="0"/>
                <w:sz w:val="15"/>
                <w:szCs w:val="15"/>
                <w14:ligatures w14:val="none"/>
              </w:rPr>
              <w:t>BEING STRAIGHT ABOUT THE NUMBERS</w:t>
            </w:r>
          </w:p>
          <w:p w14:paraId="12194E61" w14:textId="77777777" w:rsidR="003A512F" w:rsidRPr="003A512F" w:rsidRDefault="003A512F" w:rsidP="003A512F">
            <w:pPr>
              <w:spacing w:after="140" w:line="300" w:lineRule="auto"/>
              <w:rPr>
                <w:rFonts w:ascii="Times New Roman" w:eastAsia="Cambria" w:hAnsi="Times New Roman" w:cs="Times New Roman"/>
                <w:color w:val="16222B"/>
                <w:kern w:val="0"/>
                <w:sz w:val="21"/>
                <w:szCs w:val="21"/>
                <w14:ligatures w14:val="none"/>
              </w:rPr>
            </w:pPr>
          </w:p>
          <w:p w14:paraId="6FE099AE" w14:textId="77777777" w:rsidR="003A512F" w:rsidRPr="003A512F" w:rsidRDefault="003A512F" w:rsidP="003A512F">
            <w:pPr>
              <w:spacing w:after="20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0"/>
                <w:szCs w:val="20"/>
                <w14:ligatures w14:val="none"/>
              </w:rPr>
              <w:t>These estimates come from a reproducible simulation, not a fielded household survey. Somalia has no national health expenditure survey, so a synthetic dataset of 1,350 households was built and calibrated against the Somali Health and Demographic Survey 2020, the WHO Global Health Expenditure Database, and World Bank poverty proxies, then analysed using standard WHO and World Bank financial-protection methods.</w:t>
            </w:r>
          </w:p>
          <w:p w14:paraId="16749C21" w14:textId="77777777" w:rsidR="003A512F" w:rsidRPr="003A512F" w:rsidRDefault="003A512F" w:rsidP="003A512F">
            <w:pPr>
              <w:spacing w:after="2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0"/>
                <w:szCs w:val="20"/>
                <w14:ligatures w14:val="none"/>
              </w:rPr>
              <w:t xml:space="preserve">What that buys you is a transparent, auditable pipeline: fixed random seed, documented parameters, every figure regenerable, and ready to be re-run the moment real microdata exists. What it does not buy you is precision. Read these numbers as plausibility-bounded planning figures — the right order of magnitude and, more importantly, the right </w:t>
            </w:r>
            <w:r w:rsidRPr="003A512F">
              <w:rPr>
                <w:rFonts w:ascii="Times New Roman" w:eastAsia="Cambria" w:hAnsi="Times New Roman" w:cs="Times New Roman"/>
                <w:i/>
                <w:iCs/>
                <w:color w:val="16222B"/>
                <w:kern w:val="0"/>
                <w:sz w:val="20"/>
                <w:szCs w:val="20"/>
                <w14:ligatures w14:val="none"/>
              </w:rPr>
              <w:t>shape</w:t>
            </w:r>
            <w:r w:rsidRPr="003A512F">
              <w:rPr>
                <w:rFonts w:ascii="Times New Roman" w:eastAsia="Cambria" w:hAnsi="Times New Roman" w:cs="Times New Roman"/>
                <w:color w:val="16222B"/>
                <w:kern w:val="0"/>
                <w:sz w:val="20"/>
                <w:szCs w:val="20"/>
                <w14:ligatures w14:val="none"/>
              </w:rPr>
              <w:t xml:space="preserve"> — not as population parameters. The direction of every gradient reported here is robust. The decimal points are not.</w:t>
            </w:r>
          </w:p>
          <w:p w14:paraId="12965178" w14:textId="77777777" w:rsidR="003A512F" w:rsidRPr="003A512F" w:rsidRDefault="003A512F" w:rsidP="003A512F">
            <w:pPr>
              <w:spacing w:after="0" w:line="300" w:lineRule="auto"/>
              <w:rPr>
                <w:rFonts w:ascii="Times New Roman" w:eastAsia="Cambria" w:hAnsi="Times New Roman" w:cs="Times New Roman"/>
                <w:color w:val="16222B"/>
                <w:kern w:val="0"/>
                <w:sz w:val="20"/>
                <w:szCs w:val="20"/>
                <w14:ligatures w14:val="none"/>
              </w:rPr>
            </w:pPr>
            <w:r w:rsidRPr="003A512F">
              <w:rPr>
                <w:rFonts w:ascii="Times New Roman" w:eastAsia="Cambria" w:hAnsi="Times New Roman" w:cs="Times New Roman"/>
                <w:color w:val="16222B"/>
                <w:kern w:val="0"/>
                <w:sz w:val="20"/>
                <w:szCs w:val="20"/>
                <w14:ligatures w14:val="none"/>
              </w:rPr>
              <w:t>The honest conclusion is a request: Somalia needs a proper household health expenditure survey. Until then, this is a defensible way to plan.</w:t>
            </w:r>
          </w:p>
          <w:p w14:paraId="2BC013E7"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p>
          <w:p w14:paraId="02C85E50"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p>
        </w:tc>
      </w:tr>
    </w:tbl>
    <w:p w14:paraId="5A33B1DA" w14:textId="77777777" w:rsidR="003A512F" w:rsidRPr="003A512F" w:rsidRDefault="003A512F" w:rsidP="003A512F">
      <w:pPr>
        <w:spacing w:after="380" w:line="300" w:lineRule="auto"/>
        <w:rPr>
          <w:rFonts w:ascii="Times New Roman" w:eastAsia="Cambria" w:hAnsi="Times New Roman" w:cs="Times New Roman"/>
          <w:color w:val="16222B"/>
          <w:kern w:val="0"/>
          <w:sz w:val="21"/>
          <w:szCs w:val="21"/>
          <w14:ligatures w14:val="none"/>
        </w:rPr>
      </w:pPr>
    </w:p>
    <w:p w14:paraId="0C3ADB2E" w14:textId="77777777" w:rsidR="003A512F" w:rsidRPr="003A512F" w:rsidRDefault="003A512F" w:rsidP="003A512F">
      <w:pPr>
        <w:spacing w:before="360" w:after="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C9A227"/>
          <w:spacing w:val="60"/>
          <w:kern w:val="0"/>
          <w:sz w:val="14"/>
          <w:szCs w:val="14"/>
          <w14:ligatures w14:val="none"/>
        </w:rPr>
        <w:t>RESPONSE</w:t>
      </w:r>
    </w:p>
    <w:p w14:paraId="48F7252A" w14:textId="77777777" w:rsidR="003A512F" w:rsidRPr="003A512F" w:rsidRDefault="003A512F" w:rsidP="003A512F">
      <w:pPr>
        <w:spacing w:after="220" w:line="300" w:lineRule="auto"/>
        <w:outlineLvl w:val="0"/>
        <w:rPr>
          <w:rFonts w:ascii="Times New Roman" w:eastAsia="Cambria" w:hAnsi="Times New Roman" w:cs="Times New Roman"/>
          <w:b/>
          <w:bCs/>
          <w:color w:val="0A1F3C"/>
          <w:kern w:val="0"/>
          <w:sz w:val="30"/>
          <w:szCs w:val="30"/>
          <w14:ligatures w14:val="none"/>
        </w:rPr>
      </w:pPr>
      <w:r w:rsidRPr="003A512F">
        <w:rPr>
          <w:rFonts w:ascii="Times New Roman" w:eastAsia="Cambria" w:hAnsi="Times New Roman" w:cs="Times New Roman"/>
          <w:b/>
          <w:bCs/>
          <w:color w:val="0A1F3C"/>
          <w:kern w:val="0"/>
          <w:sz w:val="30"/>
          <w:szCs w:val="30"/>
          <w14:ligatures w14:val="none"/>
        </w:rPr>
        <w:t>From evidence to instrument</w:t>
      </w:r>
    </w:p>
    <w:tbl>
      <w:tblPr>
        <w:tblW w:w="9500" w:type="dxa"/>
        <w:tblInd w:w="-6" w:type="dxa"/>
        <w:tblCellMar>
          <w:left w:w="10" w:type="dxa"/>
          <w:right w:w="10" w:type="dxa"/>
        </w:tblCellMar>
        <w:tblLook w:val="04A0" w:firstRow="1" w:lastRow="0" w:firstColumn="1" w:lastColumn="0" w:noHBand="0" w:noVBand="1"/>
      </w:tblPr>
      <w:tblGrid>
        <w:gridCol w:w="4750"/>
        <w:gridCol w:w="4750"/>
      </w:tblGrid>
      <w:tr w:rsidR="003A512F" w:rsidRPr="003A512F" w14:paraId="26B516F7" w14:textId="77777777" w:rsidTr="00B81B5F">
        <w:trPr>
          <w:cantSplit/>
        </w:trPr>
        <w:tc>
          <w:tcPr>
            <w:tcW w:w="4700" w:type="dxa"/>
            <w:tcBorders>
              <w:top w:val="single" w:sz="10" w:space="0" w:color="0F7A78"/>
              <w:left w:val="single" w:sz="3" w:space="0" w:color="D7DEE2"/>
              <w:bottom w:val="single" w:sz="3" w:space="0" w:color="D7DEE2"/>
              <w:right w:val="single" w:sz="3" w:space="0" w:color="D7DEE2"/>
            </w:tcBorders>
            <w:shd w:val="clear" w:color="auto" w:fill="FFFFFF"/>
            <w:tcMar>
              <w:top w:w="200" w:type="dxa"/>
              <w:left w:w="200" w:type="dxa"/>
              <w:bottom w:w="200" w:type="dxa"/>
              <w:right w:w="200" w:type="dxa"/>
            </w:tcMar>
          </w:tcPr>
          <w:p w14:paraId="4C59919A" w14:textId="77777777" w:rsidR="003A512F" w:rsidRPr="003A512F" w:rsidRDefault="003A512F" w:rsidP="003A512F">
            <w:pPr>
              <w:spacing w:after="30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Concentrated problems are easier to solve than diffuse ones. Because hardship in Somalia clusters by place, household type, and cause, a relatively small set of financing instruments can deliver disproportionate protection. Each aligns with institutions Somalia is already building: the National Social Health Insurance Authority, the Essential Package of Health Services, and Damal Caafimaad.</w:t>
            </w:r>
          </w:p>
          <w:p w14:paraId="23339684" w14:textId="77777777" w:rsidR="003A512F" w:rsidRPr="003A512F" w:rsidRDefault="003A512F" w:rsidP="003A512F">
            <w:pPr>
              <w:spacing w:after="9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9E2B25"/>
                <w:spacing w:val="40"/>
                <w:kern w:val="0"/>
                <w:sz w:val="14"/>
                <w:szCs w:val="14"/>
                <w14:ligatures w14:val="none"/>
              </w:rPr>
              <w:t>NO RISK POOLING · REGRESSIVE BURDEN</w:t>
            </w:r>
          </w:p>
          <w:p w14:paraId="0D220A11" w14:textId="77777777" w:rsidR="003A512F" w:rsidRPr="003A512F" w:rsidRDefault="003A512F" w:rsidP="003A512F">
            <w:pPr>
              <w:spacing w:after="1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0A1F3C"/>
                <w:kern w:val="0"/>
                <w:sz w:val="22"/>
                <w:szCs w:val="22"/>
                <w14:ligatures w14:val="none"/>
              </w:rPr>
              <w:t>A single national pool</w:t>
            </w:r>
          </w:p>
          <w:p w14:paraId="6DE8E5EC" w14:textId="77777777" w:rsidR="003A512F" w:rsidRPr="003A512F" w:rsidRDefault="003A512F" w:rsidP="003A512F">
            <w:pPr>
              <w:spacing w:after="0" w:line="25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7"/>
                <w:szCs w:val="17"/>
                <w14:ligatures w14:val="none"/>
              </w:rPr>
              <w:t>Operationalise NSHIA as one pooled fund. Fully subsidise premiums for displaced, nomadic and poorest households, and purchase EPHS services on their behalf rather than asking them to pay at the door.</w:t>
            </w:r>
          </w:p>
        </w:tc>
        <w:tc>
          <w:tcPr>
            <w:tcW w:w="4700" w:type="dxa"/>
            <w:tcBorders>
              <w:top w:val="single" w:sz="10" w:space="0" w:color="0F7A78"/>
              <w:left w:val="single" w:sz="3" w:space="0" w:color="D7DEE2"/>
              <w:bottom w:val="single" w:sz="3" w:space="0" w:color="D7DEE2"/>
              <w:right w:val="single" w:sz="3" w:space="0" w:color="D7DEE2"/>
            </w:tcBorders>
            <w:shd w:val="clear" w:color="auto" w:fill="FFFFFF"/>
            <w:tcMar>
              <w:top w:w="200" w:type="dxa"/>
              <w:left w:w="200" w:type="dxa"/>
              <w:bottom w:w="200" w:type="dxa"/>
              <w:right w:w="200" w:type="dxa"/>
            </w:tcMar>
          </w:tcPr>
          <w:p w14:paraId="1AC96DF9" w14:textId="77777777" w:rsidR="003A512F" w:rsidRPr="003A512F" w:rsidRDefault="003A512F" w:rsidP="003A512F">
            <w:pPr>
              <w:spacing w:after="9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9E2B25"/>
                <w:spacing w:val="40"/>
                <w:kern w:val="0"/>
                <w:sz w:val="14"/>
                <w:szCs w:val="14"/>
                <w14:ligatures w14:val="none"/>
              </w:rPr>
              <w:t>CHRONIC ILLNESS · 4× THE ODDS</w:t>
            </w:r>
          </w:p>
          <w:p w14:paraId="3C8C97D7" w14:textId="77777777" w:rsidR="003A512F" w:rsidRPr="003A512F" w:rsidRDefault="003A512F" w:rsidP="003A512F">
            <w:pPr>
              <w:spacing w:after="1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0A1F3C"/>
                <w:kern w:val="0"/>
                <w:sz w:val="22"/>
                <w:szCs w:val="22"/>
                <w14:ligatures w14:val="none"/>
              </w:rPr>
              <w:t>Continuity-of-care exemptions</w:t>
            </w:r>
          </w:p>
          <w:p w14:paraId="78A9D749" w14:textId="77777777" w:rsidR="003A512F" w:rsidRPr="003A512F" w:rsidRDefault="003A512F" w:rsidP="003A512F">
            <w:pPr>
              <w:spacing w:after="0" w:line="25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7"/>
                <w:szCs w:val="17"/>
                <w14:ligatures w14:val="none"/>
              </w:rPr>
              <w:t>Zero co-payment for essential chronic-disease medicines and monitoring inside the benefit package, with pre-authorised refill protocols so a recurring condition stops generating a recurring bill.</w:t>
            </w:r>
          </w:p>
        </w:tc>
      </w:tr>
      <w:tr w:rsidR="003A512F" w:rsidRPr="003A512F" w14:paraId="592C4D33" w14:textId="77777777" w:rsidTr="00B81B5F">
        <w:trPr>
          <w:cantSplit/>
        </w:trPr>
        <w:tc>
          <w:tcPr>
            <w:tcW w:w="4700" w:type="dxa"/>
            <w:tcBorders>
              <w:top w:val="single" w:sz="10" w:space="0" w:color="0F7A78"/>
              <w:left w:val="single" w:sz="3" w:space="0" w:color="D7DEE2"/>
              <w:bottom w:val="single" w:sz="3" w:space="0" w:color="D7DEE2"/>
              <w:right w:val="single" w:sz="3" w:space="0" w:color="D7DEE2"/>
            </w:tcBorders>
            <w:shd w:val="clear" w:color="auto" w:fill="FFFFFF"/>
            <w:tcMar>
              <w:top w:w="200" w:type="dxa"/>
              <w:left w:w="200" w:type="dxa"/>
              <w:bottom w:w="200" w:type="dxa"/>
              <w:right w:w="200" w:type="dxa"/>
            </w:tcMar>
          </w:tcPr>
          <w:p w14:paraId="0C3EB68F" w14:textId="77777777" w:rsidR="003A512F" w:rsidRPr="003A512F" w:rsidRDefault="003A512F" w:rsidP="003A512F">
            <w:pPr>
              <w:spacing w:after="9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9E2B25"/>
                <w:spacing w:val="40"/>
                <w:kern w:val="0"/>
                <w:sz w:val="14"/>
                <w:szCs w:val="14"/>
                <w14:ligatures w14:val="none"/>
              </w:rPr>
              <w:t>MATERNITY PENALTY · 2× THE ODDS</w:t>
            </w:r>
          </w:p>
          <w:p w14:paraId="5CEE4199" w14:textId="77777777" w:rsidR="003A512F" w:rsidRPr="003A512F" w:rsidRDefault="003A512F" w:rsidP="003A512F">
            <w:pPr>
              <w:spacing w:after="1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0A1F3C"/>
                <w:kern w:val="0"/>
                <w:sz w:val="22"/>
                <w:szCs w:val="22"/>
                <w14:ligatures w14:val="none"/>
              </w:rPr>
              <w:t>Demand-side maternal subsidy</w:t>
            </w:r>
          </w:p>
          <w:p w14:paraId="3B576685" w14:textId="77777777" w:rsidR="003A512F" w:rsidRPr="003A512F" w:rsidRDefault="003A512F" w:rsidP="003A512F">
            <w:pPr>
              <w:spacing w:after="0" w:line="25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7"/>
                <w:szCs w:val="17"/>
                <w14:ligatures w14:val="none"/>
              </w:rPr>
              <w:t>Free or voucher-covered antenatal, delivery and postnatal care, delivered over mobile-money rails so unbanked and mobile households can actually use it.</w:t>
            </w:r>
          </w:p>
        </w:tc>
        <w:tc>
          <w:tcPr>
            <w:tcW w:w="4700" w:type="dxa"/>
            <w:tcBorders>
              <w:top w:val="single" w:sz="10" w:space="0" w:color="0F7A78"/>
              <w:left w:val="single" w:sz="3" w:space="0" w:color="D7DEE2"/>
              <w:bottom w:val="single" w:sz="3" w:space="0" w:color="D7DEE2"/>
              <w:right w:val="single" w:sz="3" w:space="0" w:color="D7DEE2"/>
            </w:tcBorders>
            <w:shd w:val="clear" w:color="auto" w:fill="FFFFFF"/>
            <w:tcMar>
              <w:top w:w="200" w:type="dxa"/>
              <w:left w:w="200" w:type="dxa"/>
              <w:bottom w:w="200" w:type="dxa"/>
              <w:right w:w="200" w:type="dxa"/>
            </w:tcMar>
          </w:tcPr>
          <w:p w14:paraId="2304D14A" w14:textId="77777777" w:rsidR="003A512F" w:rsidRPr="003A512F" w:rsidRDefault="003A512F" w:rsidP="003A512F">
            <w:pPr>
              <w:spacing w:after="9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9E2B25"/>
                <w:spacing w:val="40"/>
                <w:kern w:val="0"/>
                <w:sz w:val="14"/>
                <w:szCs w:val="14"/>
                <w14:ligatures w14:val="none"/>
              </w:rPr>
              <w:t>DISPLACEMENT RAISES RISK BEYOND WEALTH</w:t>
            </w:r>
          </w:p>
          <w:p w14:paraId="0ADDB69D" w14:textId="77777777" w:rsidR="003A512F" w:rsidRPr="003A512F" w:rsidRDefault="003A512F" w:rsidP="003A512F">
            <w:pPr>
              <w:spacing w:after="1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0A1F3C"/>
                <w:kern w:val="0"/>
                <w:sz w:val="22"/>
                <w:szCs w:val="22"/>
                <w14:ligatures w14:val="none"/>
              </w:rPr>
              <w:t>Targeting by place, not just income</w:t>
            </w:r>
          </w:p>
          <w:p w14:paraId="76B35762" w14:textId="77777777" w:rsidR="003A512F" w:rsidRPr="003A512F" w:rsidRDefault="003A512F" w:rsidP="003A512F">
            <w:pPr>
              <w:spacing w:after="0" w:line="25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7"/>
                <w:szCs w:val="17"/>
                <w14:ligatures w14:val="none"/>
              </w:rPr>
              <w:t>Auto-enrol households in displacement settlements and pastoralist areas. Finance mobile and outreach delivery, because a fixed facility is not a service for a mobile population.</w:t>
            </w:r>
          </w:p>
        </w:tc>
      </w:tr>
      <w:tr w:rsidR="003A512F" w:rsidRPr="003A512F" w14:paraId="17B24000" w14:textId="77777777" w:rsidTr="00B81B5F">
        <w:trPr>
          <w:cantSplit/>
        </w:trPr>
        <w:tc>
          <w:tcPr>
            <w:tcW w:w="4700" w:type="dxa"/>
            <w:tcBorders>
              <w:top w:val="single" w:sz="10" w:space="0" w:color="0F7A78"/>
              <w:left w:val="single" w:sz="3" w:space="0" w:color="D7DEE2"/>
              <w:bottom w:val="single" w:sz="3" w:space="0" w:color="D7DEE2"/>
              <w:right w:val="single" w:sz="3" w:space="0" w:color="D7DEE2"/>
            </w:tcBorders>
            <w:shd w:val="clear" w:color="auto" w:fill="FFFFFF"/>
            <w:tcMar>
              <w:top w:w="200" w:type="dxa"/>
              <w:left w:w="200" w:type="dxa"/>
              <w:bottom w:w="200" w:type="dxa"/>
              <w:right w:w="200" w:type="dxa"/>
            </w:tcMar>
          </w:tcPr>
          <w:p w14:paraId="139A8E73" w14:textId="77777777" w:rsidR="003A512F" w:rsidRPr="003A512F" w:rsidRDefault="003A512F" w:rsidP="003A512F">
            <w:pPr>
              <w:spacing w:after="9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9E2B25"/>
                <w:spacing w:val="40"/>
                <w:kern w:val="0"/>
                <w:sz w:val="14"/>
                <w:szCs w:val="14"/>
                <w14:ligatures w14:val="none"/>
              </w:rPr>
              <w:t>OPAQUE PRIVATE PRICING</w:t>
            </w:r>
          </w:p>
          <w:p w14:paraId="2B577AFD" w14:textId="77777777" w:rsidR="003A512F" w:rsidRPr="003A512F" w:rsidRDefault="003A512F" w:rsidP="003A512F">
            <w:pPr>
              <w:spacing w:after="1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0A1F3C"/>
                <w:kern w:val="0"/>
                <w:sz w:val="22"/>
                <w:szCs w:val="22"/>
                <w14:ligatures w14:val="none"/>
              </w:rPr>
              <w:t>Strategic purchasing</w:t>
            </w:r>
          </w:p>
          <w:p w14:paraId="56161200" w14:textId="77777777" w:rsidR="003A512F" w:rsidRPr="003A512F" w:rsidRDefault="003A512F" w:rsidP="003A512F">
            <w:pPr>
              <w:spacing w:after="0" w:line="25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7"/>
                <w:szCs w:val="17"/>
                <w14:ligatures w14:val="none"/>
              </w:rPr>
              <w:t>Contract accredited private providers at negotiated tariffs, publish standard prices, and tie reimbursement to quality and price transparency. Somalia’s delivery system is private; the purchasing has to be public.</w:t>
            </w:r>
          </w:p>
        </w:tc>
        <w:tc>
          <w:tcPr>
            <w:tcW w:w="4700" w:type="dxa"/>
            <w:tcBorders>
              <w:top w:val="single" w:sz="10" w:space="0" w:color="0F7A78"/>
              <w:left w:val="single" w:sz="3" w:space="0" w:color="D7DEE2"/>
              <w:bottom w:val="single" w:sz="3" w:space="0" w:color="D7DEE2"/>
              <w:right w:val="single" w:sz="3" w:space="0" w:color="D7DEE2"/>
            </w:tcBorders>
            <w:shd w:val="clear" w:color="auto" w:fill="FFFFFF"/>
            <w:tcMar>
              <w:top w:w="200" w:type="dxa"/>
              <w:left w:w="200" w:type="dxa"/>
              <w:bottom w:w="200" w:type="dxa"/>
              <w:right w:w="200" w:type="dxa"/>
            </w:tcMar>
          </w:tcPr>
          <w:p w14:paraId="27BD7EE4" w14:textId="77777777" w:rsidR="003A512F" w:rsidRPr="003A512F" w:rsidRDefault="003A512F" w:rsidP="003A512F">
            <w:pPr>
              <w:spacing w:after="9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9E2B25"/>
                <w:spacing w:val="40"/>
                <w:kern w:val="0"/>
                <w:sz w:val="14"/>
                <w:szCs w:val="14"/>
                <w14:ligatures w14:val="none"/>
              </w:rPr>
              <w:t>DISTRESS FINANCING · ASSET DEPLETION</w:t>
            </w:r>
          </w:p>
          <w:p w14:paraId="2BB9B218" w14:textId="77777777" w:rsidR="003A512F" w:rsidRPr="003A512F" w:rsidRDefault="003A512F" w:rsidP="003A512F">
            <w:pPr>
              <w:spacing w:after="10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b/>
                <w:bCs/>
                <w:color w:val="0A1F3C"/>
                <w:kern w:val="0"/>
                <w:sz w:val="22"/>
                <w:szCs w:val="22"/>
                <w14:ligatures w14:val="none"/>
              </w:rPr>
              <w:t>A ceiling on what a family can lose</w:t>
            </w:r>
          </w:p>
          <w:p w14:paraId="0DF1FE37" w14:textId="77777777" w:rsidR="003A512F" w:rsidRPr="003A512F" w:rsidRDefault="003A512F" w:rsidP="003A512F">
            <w:pPr>
              <w:spacing w:after="0" w:line="25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color w:val="4C5C66"/>
                <w:kern w:val="0"/>
                <w:sz w:val="17"/>
                <w:szCs w:val="17"/>
                <w14:ligatures w14:val="none"/>
              </w:rPr>
              <w:t>An annual out-of-pocket cap per household within benefit design, plus a pooled fund for high-cost episodes, so that no single illness can consume a household’s productive base.</w:t>
            </w:r>
          </w:p>
        </w:tc>
      </w:tr>
    </w:tbl>
    <w:p w14:paraId="2C4E066F" w14:textId="77777777" w:rsidR="003A512F" w:rsidRPr="003A512F" w:rsidRDefault="003A512F" w:rsidP="003A512F">
      <w:pPr>
        <w:spacing w:after="360" w:line="300" w:lineRule="auto"/>
        <w:rPr>
          <w:rFonts w:ascii="Times New Roman" w:eastAsia="Cambria" w:hAnsi="Times New Roman" w:cs="Times New Roman"/>
          <w:color w:val="16222B"/>
          <w:kern w:val="0"/>
          <w:sz w:val="21"/>
          <w:szCs w:val="21"/>
          <w14:ligatures w14:val="none"/>
        </w:rPr>
      </w:pPr>
    </w:p>
    <w:p w14:paraId="4859A046" w14:textId="77777777" w:rsidR="003A512F" w:rsidRPr="003A512F" w:rsidRDefault="003A512F" w:rsidP="003A512F">
      <w:pPr>
        <w:spacing w:before="300" w:after="120" w:line="300" w:lineRule="auto"/>
        <w:outlineLvl w:val="1"/>
        <w:rPr>
          <w:rFonts w:ascii="Times New Roman" w:eastAsia="Calibri" w:hAnsi="Times New Roman" w:cs="Times New Roman"/>
          <w:b/>
          <w:bCs/>
          <w:color w:val="12355B"/>
          <w:kern w:val="0"/>
          <w:sz w:val="22"/>
          <w:szCs w:val="22"/>
          <w14:ligatures w14:val="none"/>
        </w:rPr>
      </w:pPr>
      <w:r w:rsidRPr="003A512F">
        <w:rPr>
          <w:rFonts w:ascii="Times New Roman" w:eastAsia="Calibri" w:hAnsi="Times New Roman" w:cs="Times New Roman"/>
          <w:b/>
          <w:bCs/>
          <w:color w:val="12355B"/>
          <w:kern w:val="0"/>
          <w:sz w:val="22"/>
          <w:szCs w:val="22"/>
          <w14:ligatures w14:val="none"/>
        </w:rPr>
        <w:t>Where to start</w:t>
      </w:r>
    </w:p>
    <w:p w14:paraId="31667000" w14:textId="77777777" w:rsidR="003A512F" w:rsidRPr="003A512F" w:rsidRDefault="003A512F" w:rsidP="003A512F">
      <w:pPr>
        <w:spacing w:after="220" w:line="30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16222B"/>
          <w:kern w:val="0"/>
          <w:sz w:val="21"/>
          <w:szCs w:val="21"/>
          <w14:ligatures w14:val="none"/>
        </w:rPr>
        <w:t>Protection is cheapest where risk is most concentrated. Three first moves carry the highest return per shilling:</w:t>
      </w:r>
    </w:p>
    <w:tbl>
      <w:tblPr>
        <w:tblW w:w="9500" w:type="dxa"/>
        <w:tblCellMar>
          <w:left w:w="10" w:type="dxa"/>
          <w:right w:w="10" w:type="dxa"/>
        </w:tblCellMar>
        <w:tblLook w:val="04A0" w:firstRow="1" w:lastRow="0" w:firstColumn="1" w:lastColumn="0" w:noHBand="0" w:noVBand="1"/>
      </w:tblPr>
      <w:tblGrid>
        <w:gridCol w:w="700"/>
        <w:gridCol w:w="8800"/>
      </w:tblGrid>
      <w:tr w:rsidR="003A512F" w:rsidRPr="003A512F" w14:paraId="2F26D63D" w14:textId="77777777" w:rsidTr="00B81B5F">
        <w:trPr>
          <w:cantSplit/>
        </w:trPr>
        <w:tc>
          <w:tcPr>
            <w:tcW w:w="700" w:type="dxa"/>
            <w:tcBorders>
              <w:top w:val="single" w:sz="3" w:space="0" w:color="D7DEE2"/>
            </w:tcBorders>
            <w:tcMar>
              <w:top w:w="160" w:type="dxa"/>
              <w:left w:w="0" w:type="dxa"/>
              <w:bottom w:w="160" w:type="dxa"/>
              <w:right w:w="120" w:type="dxa"/>
            </w:tcMar>
          </w:tcPr>
          <w:p w14:paraId="41E39048"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0F7A78"/>
                <w:kern w:val="0"/>
                <w:sz w:val="20"/>
                <w:szCs w:val="20"/>
                <w14:ligatures w14:val="none"/>
              </w:rPr>
              <w:t>01</w:t>
            </w:r>
          </w:p>
        </w:tc>
        <w:tc>
          <w:tcPr>
            <w:tcW w:w="8800" w:type="dxa"/>
            <w:tcBorders>
              <w:top w:val="single" w:sz="3" w:space="0" w:color="D7DEE2"/>
            </w:tcBorders>
            <w:tcMar>
              <w:top w:w="160" w:type="dxa"/>
              <w:left w:w="0" w:type="dxa"/>
              <w:bottom w:w="160" w:type="dxa"/>
              <w:right w:w="0" w:type="dxa"/>
            </w:tcMar>
          </w:tcPr>
          <w:p w14:paraId="522303A8" w14:textId="77777777" w:rsidR="003A512F" w:rsidRPr="003A512F" w:rsidRDefault="003A512F" w:rsidP="003A512F">
            <w:pPr>
              <w:spacing w:after="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0A1F3C"/>
                <w:kern w:val="0"/>
                <w:sz w:val="19"/>
                <w:szCs w:val="19"/>
                <w14:ligatures w14:val="none"/>
              </w:rPr>
              <w:t>Full premium subsidy for the poorest and the displaced</w:t>
            </w:r>
          </w:p>
          <w:p w14:paraId="24501448" w14:textId="77777777" w:rsidR="003A512F" w:rsidRPr="003A512F" w:rsidRDefault="003A512F" w:rsidP="003A512F">
            <w:pPr>
              <w:spacing w:after="0" w:line="26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4C5C66"/>
                <w:kern w:val="0"/>
                <w:sz w:val="20"/>
                <w:szCs w:val="20"/>
                <w14:ligatures w14:val="none"/>
              </w:rPr>
              <w:t>Two groups, clearly identifiable, carrying the steepest risk in the entire distribution.</w:t>
            </w:r>
          </w:p>
        </w:tc>
      </w:tr>
      <w:tr w:rsidR="003A512F" w:rsidRPr="003A512F" w14:paraId="0AE7EC6F" w14:textId="77777777" w:rsidTr="00B81B5F">
        <w:trPr>
          <w:cantSplit/>
        </w:trPr>
        <w:tc>
          <w:tcPr>
            <w:tcW w:w="700" w:type="dxa"/>
            <w:tcBorders>
              <w:top w:val="single" w:sz="3" w:space="0" w:color="D7DEE2"/>
            </w:tcBorders>
            <w:tcMar>
              <w:top w:w="160" w:type="dxa"/>
              <w:left w:w="0" w:type="dxa"/>
              <w:bottom w:w="160" w:type="dxa"/>
              <w:right w:w="120" w:type="dxa"/>
            </w:tcMar>
          </w:tcPr>
          <w:p w14:paraId="7FF5B1F5"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0F7A78"/>
                <w:kern w:val="0"/>
                <w:sz w:val="20"/>
                <w:szCs w:val="20"/>
                <w14:ligatures w14:val="none"/>
              </w:rPr>
              <w:t>02</w:t>
            </w:r>
          </w:p>
        </w:tc>
        <w:tc>
          <w:tcPr>
            <w:tcW w:w="8800" w:type="dxa"/>
            <w:tcBorders>
              <w:top w:val="single" w:sz="3" w:space="0" w:color="D7DEE2"/>
            </w:tcBorders>
            <w:tcMar>
              <w:top w:w="160" w:type="dxa"/>
              <w:left w:w="0" w:type="dxa"/>
              <w:bottom w:w="160" w:type="dxa"/>
              <w:right w:w="0" w:type="dxa"/>
            </w:tcMar>
          </w:tcPr>
          <w:p w14:paraId="0FB8EF01" w14:textId="77777777" w:rsidR="003A512F" w:rsidRPr="003A512F" w:rsidRDefault="003A512F" w:rsidP="003A512F">
            <w:pPr>
              <w:spacing w:after="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0A1F3C"/>
                <w:kern w:val="0"/>
                <w:sz w:val="19"/>
                <w:szCs w:val="19"/>
                <w14:ligatures w14:val="none"/>
              </w:rPr>
              <w:t>Chronic-disease exemptions</w:t>
            </w:r>
          </w:p>
          <w:p w14:paraId="44B5BB86" w14:textId="77777777" w:rsidR="003A512F" w:rsidRPr="003A512F" w:rsidRDefault="003A512F" w:rsidP="003A512F">
            <w:pPr>
              <w:spacing w:after="0" w:line="26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4C5C66"/>
                <w:kern w:val="0"/>
                <w:sz w:val="20"/>
                <w:szCs w:val="20"/>
                <w14:ligatures w14:val="none"/>
              </w:rPr>
              <w:t>The single strongest driver in the model, and the one where a fixed benefit rule removes a recurring shock permanently.</w:t>
            </w:r>
          </w:p>
        </w:tc>
      </w:tr>
      <w:tr w:rsidR="003A512F" w:rsidRPr="003A512F" w14:paraId="63E815B5" w14:textId="77777777" w:rsidTr="00B81B5F">
        <w:trPr>
          <w:cantSplit/>
        </w:trPr>
        <w:tc>
          <w:tcPr>
            <w:tcW w:w="700" w:type="dxa"/>
            <w:tcBorders>
              <w:top w:val="single" w:sz="3" w:space="0" w:color="D7DEE2"/>
              <w:bottom w:val="single" w:sz="3" w:space="0" w:color="D7DEE2"/>
            </w:tcBorders>
            <w:tcMar>
              <w:top w:w="160" w:type="dxa"/>
              <w:left w:w="0" w:type="dxa"/>
              <w:bottom w:w="160" w:type="dxa"/>
              <w:right w:w="120" w:type="dxa"/>
            </w:tcMar>
          </w:tcPr>
          <w:p w14:paraId="7E660F40" w14:textId="77777777" w:rsidR="003A512F" w:rsidRPr="003A512F" w:rsidRDefault="003A512F" w:rsidP="003A512F">
            <w:pPr>
              <w:spacing w:after="0" w:line="300" w:lineRule="auto"/>
              <w:rPr>
                <w:rFonts w:ascii="Times New Roman" w:eastAsia="Cambria" w:hAnsi="Times New Roman" w:cs="Times New Roman"/>
                <w:color w:val="16222B"/>
                <w:kern w:val="0"/>
                <w:sz w:val="21"/>
                <w:szCs w:val="21"/>
                <w14:ligatures w14:val="none"/>
              </w:rPr>
            </w:pPr>
            <w:r w:rsidRPr="003A512F">
              <w:rPr>
                <w:rFonts w:ascii="Times New Roman" w:eastAsia="Consolas" w:hAnsi="Times New Roman" w:cs="Times New Roman"/>
                <w:b/>
                <w:bCs/>
                <w:color w:val="0F7A78"/>
                <w:kern w:val="0"/>
                <w:sz w:val="20"/>
                <w:szCs w:val="20"/>
                <w14:ligatures w14:val="none"/>
              </w:rPr>
              <w:t>03</w:t>
            </w:r>
          </w:p>
        </w:tc>
        <w:tc>
          <w:tcPr>
            <w:tcW w:w="8800" w:type="dxa"/>
            <w:tcBorders>
              <w:top w:val="single" w:sz="3" w:space="0" w:color="D7DEE2"/>
              <w:bottom w:val="single" w:sz="3" w:space="0" w:color="D7DEE2"/>
            </w:tcBorders>
            <w:tcMar>
              <w:top w:w="160" w:type="dxa"/>
              <w:left w:w="0" w:type="dxa"/>
              <w:bottom w:w="160" w:type="dxa"/>
              <w:right w:w="0" w:type="dxa"/>
            </w:tcMar>
          </w:tcPr>
          <w:p w14:paraId="2C63FB8B" w14:textId="77777777" w:rsidR="003A512F" w:rsidRPr="003A512F" w:rsidRDefault="003A512F" w:rsidP="003A512F">
            <w:pPr>
              <w:spacing w:after="60" w:line="300" w:lineRule="auto"/>
              <w:rPr>
                <w:rFonts w:ascii="Times New Roman" w:eastAsia="Cambria" w:hAnsi="Times New Roman" w:cs="Times New Roman"/>
                <w:color w:val="16222B"/>
                <w:kern w:val="0"/>
                <w:sz w:val="21"/>
                <w:szCs w:val="21"/>
                <w14:ligatures w14:val="none"/>
              </w:rPr>
            </w:pPr>
            <w:r w:rsidRPr="003A512F">
              <w:rPr>
                <w:rFonts w:ascii="Times New Roman" w:eastAsia="Calibri" w:hAnsi="Times New Roman" w:cs="Times New Roman"/>
                <w:b/>
                <w:bCs/>
                <w:color w:val="0A1F3C"/>
                <w:kern w:val="0"/>
                <w:sz w:val="19"/>
                <w:szCs w:val="19"/>
                <w14:ligatures w14:val="none"/>
              </w:rPr>
              <w:t>Maternal vouchers</w:t>
            </w:r>
          </w:p>
          <w:p w14:paraId="12B5CF8D" w14:textId="77777777" w:rsidR="003A512F" w:rsidRPr="003A512F" w:rsidRDefault="003A512F" w:rsidP="003A512F">
            <w:pPr>
              <w:spacing w:after="0" w:line="260" w:lineRule="auto"/>
              <w:rPr>
                <w:rFonts w:ascii="Times New Roman" w:eastAsia="Cambria" w:hAnsi="Times New Roman" w:cs="Times New Roman"/>
                <w:color w:val="16222B"/>
                <w:kern w:val="0"/>
                <w:sz w:val="21"/>
                <w:szCs w:val="21"/>
                <w14:ligatures w14:val="none"/>
              </w:rPr>
            </w:pPr>
            <w:r w:rsidRPr="003A512F">
              <w:rPr>
                <w:rFonts w:ascii="Times New Roman" w:eastAsia="Cambria" w:hAnsi="Times New Roman" w:cs="Times New Roman"/>
                <w:color w:val="4C5C66"/>
                <w:kern w:val="0"/>
                <w:sz w:val="20"/>
                <w:szCs w:val="20"/>
                <w14:ligatures w14:val="none"/>
              </w:rPr>
              <w:t>Resolves an outright contradiction in current policy, and pays back in maternal and newborn outcomes as well as financial protection.</w:t>
            </w:r>
          </w:p>
        </w:tc>
      </w:tr>
    </w:tbl>
    <w:p w14:paraId="5995B784" w14:textId="77777777" w:rsidR="003A512F" w:rsidRPr="003A512F" w:rsidRDefault="003A512F" w:rsidP="003A512F">
      <w:pPr>
        <w:spacing w:after="300" w:line="300" w:lineRule="auto"/>
        <w:rPr>
          <w:rFonts w:ascii="Times New Roman" w:eastAsia="Cambria" w:hAnsi="Times New Roman" w:cs="Times New Roman"/>
          <w:color w:val="16222B"/>
          <w:kern w:val="0"/>
          <w:sz w:val="21"/>
          <w:szCs w:val="21"/>
          <w14:ligatures w14:val="none"/>
        </w:rPr>
      </w:pPr>
    </w:p>
    <w:p w14:paraId="5FAE18F8" w14:textId="77777777" w:rsidR="003A512F" w:rsidRPr="003A512F" w:rsidRDefault="003A512F" w:rsidP="003A512F">
      <w:pPr>
        <w:spacing w:after="34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None of these steps require institutions Somalia lacks. They require using the institutions already on paper for a clear purpose: protecting households before illness becomes poverty.</w:t>
      </w:r>
    </w:p>
    <w:tbl>
      <w:tblPr>
        <w:tblW w:w="9500" w:type="dxa"/>
        <w:tblInd w:w="3" w:type="dxa"/>
        <w:tblCellMar>
          <w:left w:w="0" w:type="dxa"/>
          <w:right w:w="0" w:type="dxa"/>
        </w:tblCellMar>
        <w:tblLook w:val="04A0" w:firstRow="1" w:lastRow="0" w:firstColumn="1" w:lastColumn="0" w:noHBand="0" w:noVBand="1"/>
      </w:tblPr>
      <w:tblGrid>
        <w:gridCol w:w="9500"/>
      </w:tblGrid>
      <w:tr w:rsidR="00BD08D3" w14:paraId="7BFA2D62" w14:textId="77777777">
        <w:tc>
          <w:tcPr>
            <w:tcW w:w="9500" w:type="dxa"/>
            <w:tcBorders>
              <w:top w:val="nil"/>
              <w:left w:val="single" w:sz="18" w:space="0" w:color="C9A227"/>
              <w:bottom w:val="nil"/>
              <w:right w:val="nil"/>
            </w:tcBorders>
            <w:tcMar>
              <w:top w:w="160" w:type="dxa"/>
              <w:left w:w="260" w:type="dxa"/>
              <w:bottom w:w="160" w:type="dxa"/>
              <w:right w:w="120" w:type="dxa"/>
            </w:tcMar>
            <w:hideMark/>
          </w:tcPr>
          <w:p w14:paraId="547DDFA9" w14:textId="77777777" w:rsidR="00BD08D3" w:rsidRDefault="00BD08D3">
            <w:pPr>
              <w:spacing w:after="0" w:line="300" w:lineRule="auto"/>
              <w:rPr>
                <w:kern w:val="0"/>
                <w14:ligatures w14:val="none"/>
              </w:rPr>
            </w:pPr>
            <w:r>
              <w:rPr>
                <w:rFonts w:ascii="Times New Roman" w:hAnsi="Times New Roman"/>
                <w:i/>
                <w:iCs/>
                <w:color w:val="12355B"/>
                <w:sz w:val="26"/>
                <w:szCs w:val="26"/>
              </w:rPr>
              <w:t>The purpose of a national pool is simple: to move the cost of illness from the sick household to the shared responsibility of society.</w:t>
            </w:r>
          </w:p>
        </w:tc>
      </w:tr>
    </w:tbl>
    <w:p w14:paraId="0208EDF8" w14:textId="77777777" w:rsidR="00BD08D3" w:rsidRDefault="00BD08D3">
      <w:pPr>
        <w:spacing w:after="360" w:line="300" w:lineRule="auto"/>
        <w:rPr>
          <w:kern w:val="0"/>
          <w14:ligatures w14:val="none"/>
        </w:rPr>
      </w:pPr>
    </w:p>
    <w:tbl>
      <w:tblPr>
        <w:tblW w:w="9500" w:type="dxa"/>
        <w:tblInd w:w="3" w:type="dxa"/>
        <w:tblCellMar>
          <w:left w:w="0" w:type="dxa"/>
          <w:right w:w="0" w:type="dxa"/>
        </w:tblCellMar>
        <w:tblLook w:val="04A0" w:firstRow="1" w:lastRow="0" w:firstColumn="1" w:lastColumn="0" w:noHBand="0" w:noVBand="1"/>
      </w:tblPr>
      <w:tblGrid>
        <w:gridCol w:w="9500"/>
      </w:tblGrid>
      <w:tr w:rsidR="005A0FE7" w14:paraId="15706E22" w14:textId="77777777">
        <w:tc>
          <w:tcPr>
            <w:tcW w:w="9500" w:type="dxa"/>
            <w:tcBorders>
              <w:top w:val="nil"/>
              <w:left w:val="single" w:sz="18" w:space="0" w:color="C9A227"/>
              <w:bottom w:val="nil"/>
              <w:right w:val="nil"/>
            </w:tcBorders>
            <w:shd w:val="clear" w:color="auto" w:fill="FBF4DC"/>
            <w:tcMar>
              <w:top w:w="240" w:type="dxa"/>
              <w:left w:w="280" w:type="dxa"/>
              <w:bottom w:w="240" w:type="dxa"/>
              <w:right w:w="280" w:type="dxa"/>
            </w:tcMar>
            <w:hideMark/>
          </w:tcPr>
          <w:p w14:paraId="79432795" w14:textId="77777777" w:rsidR="005A0FE7" w:rsidRDefault="005A0FE7">
            <w:pPr>
              <w:spacing w:after="140" w:line="300" w:lineRule="auto"/>
              <w:rPr>
                <w:kern w:val="0"/>
                <w14:ligatures w14:val="none"/>
              </w:rPr>
            </w:pPr>
            <w:r>
              <w:rPr>
                <w:rFonts w:ascii="Times New Roman" w:hAnsi="Times New Roman"/>
                <w:b/>
                <w:bCs/>
                <w:color w:val="7A5F0F"/>
                <w:spacing w:val="70"/>
                <w:sz w:val="15"/>
                <w:szCs w:val="15"/>
              </w:rPr>
              <w:t>CALL TO ACTION</w:t>
            </w:r>
          </w:p>
          <w:p w14:paraId="20526EC6" w14:textId="77777777" w:rsidR="005A0FE7" w:rsidRDefault="005A0FE7">
            <w:pPr>
              <w:spacing w:after="0" w:line="300" w:lineRule="auto"/>
            </w:pPr>
            <w:r>
              <w:rPr>
                <w:rFonts w:ascii="Times New Roman" w:hAnsi="Times New Roman"/>
                <w:b/>
                <w:bCs/>
                <w:color w:val="0A1F3C"/>
                <w:sz w:val="21"/>
                <w:szCs w:val="21"/>
              </w:rPr>
              <w:t>Policymakers should act now to turn evidence into protection: fully subsidise coverage for the poorest, displaced, and nomadic households; remove out-of-pocket payments for chronic illness and maternal care; and operationalise a single national pool that purchases Essential Package of Health Services benefits before families are forced to pay at the point of need. Somalia does not need to wait for a perfect system to begin protecting households. It needs to use the institutions already in place to ensure that illness no longer becomes a pathway into poverty.</w:t>
            </w:r>
          </w:p>
        </w:tc>
      </w:tr>
    </w:tbl>
    <w:p w14:paraId="6CB636D0" w14:textId="77777777" w:rsidR="005A0FE7" w:rsidRDefault="005A0FE7">
      <w:pPr>
        <w:spacing w:after="360" w:line="300" w:lineRule="auto"/>
        <w:rPr>
          <w:kern w:val="0"/>
          <w14:ligatures w14:val="none"/>
        </w:rPr>
      </w:pPr>
    </w:p>
    <w:p w14:paraId="3500D004" w14:textId="77777777" w:rsidR="003A512F" w:rsidRPr="003A512F" w:rsidRDefault="003A512F" w:rsidP="003A512F">
      <w:pPr>
        <w:spacing w:after="460" w:line="300" w:lineRule="auto"/>
        <w:rPr>
          <w:rFonts w:ascii="Times New Roman" w:eastAsia="Calibri" w:hAnsi="Times New Roman" w:cs="Times New Roman"/>
          <w:b/>
          <w:bCs/>
          <w:color w:val="C9A227"/>
          <w:spacing w:val="60"/>
          <w:kern w:val="0"/>
          <w:sz w:val="14"/>
          <w:szCs w:val="14"/>
          <w14:ligatures w14:val="none"/>
        </w:rPr>
      </w:pPr>
      <w:r w:rsidRPr="003A512F">
        <w:rPr>
          <w:rFonts w:ascii="Times New Roman" w:eastAsia="Calibri" w:hAnsi="Times New Roman" w:cs="Times New Roman"/>
          <w:b/>
          <w:bCs/>
          <w:color w:val="C9A227"/>
          <w:spacing w:val="60"/>
          <w:kern w:val="0"/>
          <w:sz w:val="14"/>
          <w:szCs w:val="14"/>
          <w14:ligatures w14:val="none"/>
        </w:rPr>
        <w:t>CONCLUSION</w:t>
      </w:r>
    </w:p>
    <w:p w14:paraId="7B38EED5" w14:textId="77777777" w:rsidR="003A512F" w:rsidRPr="003A512F" w:rsidRDefault="003A512F" w:rsidP="003A512F">
      <w:pPr>
        <w:spacing w:after="46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The answer is a roadmap: out-of-pocket financing in Somalia functions as a tax on illness. It is paid by the sick rather than the healthy, ignores ability to pay, and arrives precisely when earning capacity collapses. This system pushes one quarter of households into catastrophic spending and drives an additional 4.6% below the poverty line.</w:t>
      </w:r>
    </w:p>
    <w:p w14:paraId="522F6939" w14:textId="77777777" w:rsidR="003A512F" w:rsidRPr="003A512F" w:rsidRDefault="003A512F" w:rsidP="003A512F">
      <w:pPr>
        <w:spacing w:after="460" w:line="300" w:lineRule="auto"/>
        <w:rPr>
          <w:rFonts w:ascii="Cambria" w:eastAsia="Cambria" w:hAnsi="Cambria" w:cs="Cambria"/>
          <w:color w:val="16222B"/>
          <w:kern w:val="0"/>
          <w:sz w:val="21"/>
          <w:szCs w:val="21"/>
          <w14:ligatures w14:val="none"/>
        </w:rPr>
      </w:pPr>
      <w:r w:rsidRPr="003A512F">
        <w:rPr>
          <w:rFonts w:ascii="Times New Roman" w:eastAsia="Cambria" w:hAnsi="Times New Roman" w:cs="Cambria"/>
          <w:color w:val="16222B"/>
          <w:kern w:val="0"/>
          <w:sz w:val="21"/>
          <w:szCs w:val="21"/>
          <w14:ligatures w14:val="none"/>
        </w:rPr>
        <w:t>But the burden is not random, and that is the most useful finding in this analysis. It falls hardest on displaced households, families on the move, households living with chronic illness, women running households alone, the poorest fifth, and women who gave birth in a facility after doing what the health system asked of them.</w:t>
      </w:r>
    </w:p>
    <w:tbl>
      <w:tblPr>
        <w:tblW w:w="9500" w:type="dxa"/>
        <w:tblCellMar>
          <w:left w:w="0" w:type="dxa"/>
          <w:right w:w="0" w:type="dxa"/>
        </w:tblCellMar>
        <w:tblLook w:val="04A0" w:firstRow="1" w:lastRow="0" w:firstColumn="1" w:lastColumn="0" w:noHBand="0" w:noVBand="1"/>
      </w:tblPr>
      <w:tblGrid>
        <w:gridCol w:w="16"/>
        <w:gridCol w:w="10110"/>
      </w:tblGrid>
      <w:tr w:rsidR="00BB531B" w14:paraId="53A65520" w14:textId="77777777">
        <w:tc>
          <w:tcPr>
            <w:tcW w:w="9500" w:type="dxa"/>
            <w:gridSpan w:val="2"/>
            <w:shd w:val="clear" w:color="auto" w:fill="0A1F3C"/>
            <w:tcMar>
              <w:top w:w="240" w:type="dxa"/>
              <w:left w:w="280" w:type="dxa"/>
              <w:bottom w:w="240" w:type="dxa"/>
              <w:right w:w="280" w:type="dxa"/>
            </w:tcMar>
            <w:hideMark/>
          </w:tcPr>
          <w:p w14:paraId="786CA23C" w14:textId="77777777" w:rsidR="00BB531B" w:rsidRDefault="00BB531B">
            <w:pPr>
              <w:spacing w:after="120" w:line="300" w:lineRule="auto"/>
              <w:rPr>
                <w:kern w:val="0"/>
                <w14:ligatures w14:val="none"/>
              </w:rPr>
            </w:pPr>
            <w:r>
              <w:rPr>
                <w:rFonts w:ascii="Times New Roman" w:hAnsi="Times New Roman"/>
                <w:b/>
                <w:bCs/>
                <w:color w:val="C9A227"/>
                <w:spacing w:val="70"/>
                <w:sz w:val="15"/>
                <w:szCs w:val="15"/>
              </w:rPr>
              <w:t>POLICY MESSAGE</w:t>
            </w:r>
          </w:p>
          <w:p w14:paraId="7A98D167" w14:textId="77777777" w:rsidR="00BB531B" w:rsidRDefault="00BB531B">
            <w:pPr>
              <w:spacing w:after="0" w:line="300" w:lineRule="auto"/>
            </w:pPr>
            <w:r>
              <w:rPr>
                <w:rFonts w:ascii="Times New Roman" w:hAnsi="Times New Roman"/>
                <w:b/>
                <w:bCs/>
                <w:color w:val="FFFFFF"/>
              </w:rPr>
              <w:t>Somalia’s next health financing reform should shift the burden from households to a pooled system that protects those most at risk before they are forced to sell assets, borrow, delay care, or fall deeper into poverty.</w:t>
            </w:r>
          </w:p>
        </w:tc>
      </w:tr>
      <w:tr w:rsidR="0030500E" w14:paraId="58FB7C1C" w14:textId="77777777" w:rsidTr="008066F9">
        <w:trPr>
          <w:gridBefore w:val="1"/>
          <w:wBefore w:w="26" w:type="dxa"/>
        </w:trPr>
        <w:tc>
          <w:tcPr>
            <w:tcW w:w="9500" w:type="dxa"/>
            <w:tcBorders>
              <w:top w:val="nil"/>
              <w:left w:val="single" w:sz="18" w:space="0" w:color="C9A227"/>
              <w:bottom w:val="nil"/>
              <w:right w:val="nil"/>
            </w:tcBorders>
            <w:shd w:val="clear" w:color="auto" w:fill="DAE9F7" w:themeFill="text2" w:themeFillTint="1A"/>
            <w:tcMar>
              <w:top w:w="160" w:type="dxa"/>
              <w:left w:w="260" w:type="dxa"/>
              <w:bottom w:w="160" w:type="dxa"/>
              <w:right w:w="120" w:type="dxa"/>
            </w:tcMar>
            <w:hideMark/>
          </w:tcPr>
          <w:p w14:paraId="18EB6B3A" w14:textId="77777777" w:rsidR="00BB531B" w:rsidRDefault="00BB531B">
            <w:pPr>
              <w:spacing w:after="280" w:line="300" w:lineRule="auto"/>
              <w:rPr>
                <w:kern w:val="0"/>
                <w14:ligatures w14:val="none"/>
              </w:rPr>
            </w:pPr>
          </w:p>
          <w:tbl>
            <w:tblPr>
              <w:tblW w:w="9500" w:type="dxa"/>
              <w:tblCellMar>
                <w:left w:w="0" w:type="dxa"/>
                <w:right w:w="0" w:type="dxa"/>
              </w:tblCellMar>
              <w:tblLook w:val="04A0" w:firstRow="1" w:lastRow="0" w:firstColumn="1" w:lastColumn="0" w:noHBand="0" w:noVBand="1"/>
            </w:tblPr>
            <w:tblGrid>
              <w:gridCol w:w="3166"/>
              <w:gridCol w:w="3167"/>
              <w:gridCol w:w="3167"/>
            </w:tblGrid>
            <w:tr w:rsidR="00BB531B" w14:paraId="6D44D271" w14:textId="77777777">
              <w:tc>
                <w:tcPr>
                  <w:tcW w:w="3166" w:type="dxa"/>
                  <w:tcBorders>
                    <w:top w:val="single" w:sz="18" w:space="0" w:color="0F7A78"/>
                    <w:left w:val="nil"/>
                    <w:bottom w:val="nil"/>
                    <w:right w:val="nil"/>
                  </w:tcBorders>
                  <w:shd w:val="clear" w:color="auto" w:fill="F2F6F7"/>
                  <w:tcMar>
                    <w:top w:w="200" w:type="dxa"/>
                    <w:left w:w="180" w:type="dxa"/>
                    <w:bottom w:w="200" w:type="dxa"/>
                    <w:right w:w="180" w:type="dxa"/>
                  </w:tcMar>
                  <w:hideMark/>
                </w:tcPr>
                <w:p w14:paraId="03EB55BE" w14:textId="77777777" w:rsidR="00BB531B" w:rsidRDefault="00BB531B">
                  <w:pPr>
                    <w:spacing w:after="80" w:line="300" w:lineRule="auto"/>
                    <w:rPr>
                      <w:kern w:val="0"/>
                      <w14:ligatures w14:val="none"/>
                    </w:rPr>
                  </w:pPr>
                  <w:r>
                    <w:rPr>
                      <w:rFonts w:ascii="Times New Roman" w:hAnsi="Times New Roman"/>
                      <w:b/>
                      <w:bCs/>
                      <w:color w:val="0F7A78"/>
                      <w:sz w:val="32"/>
                      <w:szCs w:val="32"/>
                    </w:rPr>
                    <w:t>1</w:t>
                  </w:r>
                </w:p>
                <w:p w14:paraId="7644FB83" w14:textId="77777777" w:rsidR="00BB531B" w:rsidRDefault="00BB531B">
                  <w:pPr>
                    <w:spacing w:after="80"/>
                  </w:pPr>
                  <w:r>
                    <w:rPr>
                      <w:rFonts w:ascii="Times New Roman" w:hAnsi="Times New Roman"/>
                      <w:b/>
                      <w:bCs/>
                      <w:color w:val="0A1F3C"/>
                      <w:sz w:val="19"/>
                      <w:szCs w:val="19"/>
                    </w:rPr>
                    <w:t>Pool risk nationally</w:t>
                  </w:r>
                </w:p>
                <w:p w14:paraId="4F71D836" w14:textId="77777777" w:rsidR="00BB531B" w:rsidRDefault="00BB531B">
                  <w:pPr>
                    <w:spacing w:after="0" w:line="259" w:lineRule="auto"/>
                  </w:pPr>
                  <w:r>
                    <w:rPr>
                      <w:rFonts w:ascii="Times New Roman" w:hAnsi="Times New Roman"/>
                      <w:color w:val="4C5C66"/>
                      <w:sz w:val="17"/>
                      <w:szCs w:val="17"/>
                    </w:rPr>
                    <w:t>Move payment from the clinic counter into a shared fund that can subsidise those least able to pay.</w:t>
                  </w:r>
                </w:p>
              </w:tc>
              <w:tc>
                <w:tcPr>
                  <w:tcW w:w="3166" w:type="dxa"/>
                  <w:tcBorders>
                    <w:top w:val="single" w:sz="18" w:space="0" w:color="C9A227"/>
                    <w:left w:val="single" w:sz="8" w:space="0" w:color="FFFFFF"/>
                    <w:bottom w:val="nil"/>
                    <w:right w:val="nil"/>
                  </w:tcBorders>
                  <w:shd w:val="clear" w:color="auto" w:fill="FBF4DC"/>
                  <w:tcMar>
                    <w:top w:w="200" w:type="dxa"/>
                    <w:left w:w="180" w:type="dxa"/>
                    <w:bottom w:w="200" w:type="dxa"/>
                    <w:right w:w="180" w:type="dxa"/>
                  </w:tcMar>
                  <w:hideMark/>
                </w:tcPr>
                <w:p w14:paraId="5D80609D" w14:textId="77777777" w:rsidR="00BB531B" w:rsidRDefault="00BB531B">
                  <w:pPr>
                    <w:spacing w:after="80" w:line="300" w:lineRule="auto"/>
                  </w:pPr>
                  <w:r>
                    <w:rPr>
                      <w:rFonts w:ascii="Times New Roman" w:hAnsi="Times New Roman"/>
                      <w:b/>
                      <w:bCs/>
                      <w:color w:val="C9A227"/>
                      <w:sz w:val="32"/>
                      <w:szCs w:val="32"/>
                    </w:rPr>
                    <w:t>2</w:t>
                  </w:r>
                </w:p>
                <w:p w14:paraId="21074E70" w14:textId="77777777" w:rsidR="00BB531B" w:rsidRDefault="00BB531B">
                  <w:pPr>
                    <w:spacing w:after="80"/>
                  </w:pPr>
                  <w:r>
                    <w:rPr>
                      <w:rFonts w:ascii="Times New Roman" w:hAnsi="Times New Roman"/>
                      <w:b/>
                      <w:bCs/>
                      <w:color w:val="0A1F3C"/>
                      <w:sz w:val="19"/>
                      <w:szCs w:val="19"/>
                    </w:rPr>
                    <w:t>Protect high-risk groups</w:t>
                  </w:r>
                </w:p>
                <w:p w14:paraId="3058EBA4" w14:textId="77777777" w:rsidR="00BB531B" w:rsidRDefault="00BB531B">
                  <w:pPr>
                    <w:spacing w:after="0" w:line="259" w:lineRule="auto"/>
                  </w:pPr>
                  <w:r>
                    <w:rPr>
                      <w:rFonts w:ascii="Times New Roman" w:hAnsi="Times New Roman"/>
                      <w:color w:val="4C5C66"/>
                      <w:sz w:val="17"/>
                      <w:szCs w:val="17"/>
                    </w:rPr>
                    <w:t>Auto-enrol displaced households, mobile pastoralists, the poorest families, and households with chronic illness.</w:t>
                  </w:r>
                </w:p>
              </w:tc>
              <w:tc>
                <w:tcPr>
                  <w:tcW w:w="3166" w:type="dxa"/>
                  <w:tcBorders>
                    <w:top w:val="single" w:sz="18" w:space="0" w:color="9E2B25"/>
                    <w:left w:val="single" w:sz="8" w:space="0" w:color="FFFFFF"/>
                    <w:bottom w:val="nil"/>
                    <w:right w:val="nil"/>
                  </w:tcBorders>
                  <w:shd w:val="clear" w:color="auto" w:fill="F7E7E5"/>
                  <w:tcMar>
                    <w:top w:w="200" w:type="dxa"/>
                    <w:left w:w="180" w:type="dxa"/>
                    <w:bottom w:w="200" w:type="dxa"/>
                    <w:right w:w="180" w:type="dxa"/>
                  </w:tcMar>
                  <w:hideMark/>
                </w:tcPr>
                <w:p w14:paraId="5E54BAF5" w14:textId="77777777" w:rsidR="00BB531B" w:rsidRDefault="00BB531B">
                  <w:pPr>
                    <w:spacing w:after="80" w:line="300" w:lineRule="auto"/>
                  </w:pPr>
                  <w:r>
                    <w:rPr>
                      <w:rFonts w:ascii="Times New Roman" w:hAnsi="Times New Roman"/>
                      <w:b/>
                      <w:bCs/>
                      <w:color w:val="9E2B25"/>
                      <w:sz w:val="32"/>
                      <w:szCs w:val="32"/>
                    </w:rPr>
                    <w:t>3</w:t>
                  </w:r>
                </w:p>
                <w:p w14:paraId="739534AC" w14:textId="77777777" w:rsidR="00BB531B" w:rsidRDefault="00BB531B">
                  <w:pPr>
                    <w:spacing w:after="80"/>
                  </w:pPr>
                  <w:r>
                    <w:rPr>
                      <w:rFonts w:ascii="Times New Roman" w:hAnsi="Times New Roman"/>
                      <w:b/>
                      <w:bCs/>
                      <w:color w:val="0A1F3C"/>
                      <w:sz w:val="19"/>
                      <w:szCs w:val="19"/>
                    </w:rPr>
                    <w:t>Remove harmful fees</w:t>
                  </w:r>
                </w:p>
                <w:p w14:paraId="3E12AB5D" w14:textId="77777777" w:rsidR="00BB531B" w:rsidRDefault="00BB531B">
                  <w:pPr>
                    <w:spacing w:after="0" w:line="259" w:lineRule="auto"/>
                  </w:pPr>
                  <w:r>
                    <w:rPr>
                      <w:rFonts w:ascii="Times New Roman" w:hAnsi="Times New Roman"/>
                      <w:color w:val="4C5C66"/>
                      <w:sz w:val="17"/>
                      <w:szCs w:val="17"/>
                    </w:rPr>
                    <w:t>Make chronic care and maternal services free at the point of need so policy does not punish people for seeking care.</w:t>
                  </w:r>
                </w:p>
              </w:tc>
            </w:tr>
          </w:tbl>
          <w:p w14:paraId="7B8CB265" w14:textId="77777777" w:rsidR="00BB531B" w:rsidRDefault="00BB531B">
            <w:pPr>
              <w:spacing w:after="340" w:line="300" w:lineRule="auto"/>
              <w:rPr>
                <w:kern w:val="0"/>
                <w14:ligatures w14:val="none"/>
              </w:rPr>
            </w:pPr>
          </w:p>
          <w:p w14:paraId="36EA6397" w14:textId="77777777" w:rsidR="0030500E" w:rsidRDefault="0030500E">
            <w:pPr>
              <w:spacing w:after="0" w:line="300" w:lineRule="auto"/>
              <w:rPr>
                <w:kern w:val="0"/>
                <w14:ligatures w14:val="none"/>
              </w:rPr>
            </w:pPr>
            <w:r>
              <w:rPr>
                <w:rFonts w:ascii="Times New Roman" w:hAnsi="Times New Roman"/>
                <w:i/>
                <w:iCs/>
                <w:color w:val="12355B"/>
                <w:sz w:val="26"/>
                <w:szCs w:val="26"/>
              </w:rPr>
              <w:t>Equitable access means that the distance to a clinic, the size of a purse, or the status of a household should never decide who receives care.</w:t>
            </w:r>
          </w:p>
        </w:tc>
      </w:tr>
      <w:tr w:rsidR="003A512F" w:rsidRPr="003A512F" w14:paraId="468B17A5" w14:textId="77777777" w:rsidTr="00590B0B">
        <w:tblPrEx>
          <w:tblCellMar>
            <w:left w:w="10" w:type="dxa"/>
            <w:right w:w="10" w:type="dxa"/>
          </w:tblCellMar>
        </w:tblPrEx>
        <w:tc>
          <w:tcPr>
            <w:tcW w:w="9500" w:type="dxa"/>
            <w:gridSpan w:val="2"/>
            <w:shd w:val="clear" w:color="auto" w:fill="45B0E1" w:themeFill="accent1" w:themeFillTint="99"/>
            <w:tcMar>
              <w:top w:w="300" w:type="dxa"/>
              <w:left w:w="300" w:type="dxa"/>
              <w:bottom w:w="300" w:type="dxa"/>
              <w:right w:w="300" w:type="dxa"/>
            </w:tcMar>
            <w:vAlign w:val="bottom"/>
          </w:tcPr>
          <w:p w14:paraId="3842424E" w14:textId="77777777" w:rsidR="0030500E" w:rsidRDefault="0030500E">
            <w:pPr>
              <w:spacing w:after="340" w:line="300" w:lineRule="auto"/>
              <w:rPr>
                <w:kern w:val="0"/>
                <w14:ligatures w14:val="none"/>
              </w:rPr>
            </w:pPr>
          </w:p>
          <w:tbl>
            <w:tblPr>
              <w:tblW w:w="9500" w:type="dxa"/>
              <w:tblInd w:w="3" w:type="dxa"/>
              <w:tblCellMar>
                <w:left w:w="0" w:type="dxa"/>
                <w:right w:w="0" w:type="dxa"/>
              </w:tblCellMar>
              <w:tblLook w:val="04A0" w:firstRow="1" w:lastRow="0" w:firstColumn="1" w:lastColumn="0" w:noHBand="0" w:noVBand="1"/>
            </w:tblPr>
            <w:tblGrid>
              <w:gridCol w:w="9500"/>
            </w:tblGrid>
            <w:tr w:rsidR="0030500E" w14:paraId="7FFEE620" w14:textId="77777777">
              <w:tc>
                <w:tcPr>
                  <w:tcW w:w="9500" w:type="dxa"/>
                  <w:tcBorders>
                    <w:top w:val="nil"/>
                    <w:left w:val="single" w:sz="18" w:space="0" w:color="C9A227"/>
                    <w:bottom w:val="nil"/>
                    <w:right w:val="nil"/>
                  </w:tcBorders>
                  <w:tcMar>
                    <w:top w:w="160" w:type="dxa"/>
                    <w:left w:w="260" w:type="dxa"/>
                    <w:bottom w:w="160" w:type="dxa"/>
                    <w:right w:w="120" w:type="dxa"/>
                  </w:tcMar>
                  <w:hideMark/>
                </w:tcPr>
                <w:p w14:paraId="4D603C87" w14:textId="77777777" w:rsidR="0030500E" w:rsidRDefault="0030500E">
                  <w:pPr>
                    <w:spacing w:after="0" w:line="300" w:lineRule="auto"/>
                    <w:rPr>
                      <w:kern w:val="0"/>
                      <w14:ligatures w14:val="none"/>
                    </w:rPr>
                  </w:pPr>
                  <w:r>
                    <w:rPr>
                      <w:rFonts w:ascii="Times New Roman" w:hAnsi="Times New Roman"/>
                      <w:i/>
                      <w:iCs/>
                      <w:color w:val="12355B"/>
                      <w:sz w:val="26"/>
                      <w:szCs w:val="26"/>
                    </w:rPr>
                    <w:t>Financial protection is not only about paying bills; it is about protecting dignity, livelihoods, and the fragile assets that keep families standing.</w:t>
                  </w:r>
                </w:p>
              </w:tc>
            </w:tr>
          </w:tbl>
          <w:p w14:paraId="0247D91C" w14:textId="77777777" w:rsidR="0030500E" w:rsidRPr="006A5C10" w:rsidRDefault="0030500E">
            <w:pPr>
              <w:spacing w:after="340" w:line="300" w:lineRule="auto"/>
              <w:rPr>
                <w:b/>
                <w:bCs/>
                <w:i/>
                <w:iCs/>
                <w:color w:val="A02B93" w:themeColor="accent5"/>
                <w:kern w:val="0"/>
                <w14:ligatures w14:val="none"/>
              </w:rPr>
            </w:pPr>
          </w:p>
          <w:p w14:paraId="2F38816A" w14:textId="77777777" w:rsidR="0030500E" w:rsidRPr="006A5C10" w:rsidRDefault="0030500E">
            <w:pPr>
              <w:spacing w:after="460" w:line="300" w:lineRule="auto"/>
              <w:rPr>
                <w:b/>
                <w:bCs/>
                <w:i/>
                <w:iCs/>
                <w:color w:val="A02B93" w:themeColor="accent5"/>
                <w:kern w:val="0"/>
                <w14:ligatures w14:val="none"/>
              </w:rPr>
            </w:pPr>
            <w:r w:rsidRPr="006A5C10">
              <w:rPr>
                <w:rFonts w:ascii="Times New Roman" w:hAnsi="Times New Roman"/>
                <w:b/>
                <w:bCs/>
                <w:i/>
                <w:iCs/>
                <w:color w:val="A02B93" w:themeColor="accent5"/>
                <w:sz w:val="21"/>
                <w:szCs w:val="21"/>
              </w:rPr>
              <w:t>Because the burden is concentrated, patterned, and targetable, reform can be equally focused. The question in the title is not rhetorical, and the answer is not merely descriptive. By identifying who suffers most, Somalia can begin to build a financing agenda around protection, not payment at the point of need. A health system becomes universal only when illness no longer forces a family to choose between care today and survival tomorrow.</w:t>
            </w:r>
          </w:p>
          <w:p w14:paraId="7F4F3C94" w14:textId="77777777" w:rsidR="003A512F" w:rsidRPr="006A5C10" w:rsidRDefault="003A512F" w:rsidP="003A512F">
            <w:pPr>
              <w:spacing w:after="140" w:line="300" w:lineRule="auto"/>
              <w:rPr>
                <w:rFonts w:ascii="Times New Roman" w:eastAsia="Cambria" w:hAnsi="Times New Roman" w:cs="Times New Roman"/>
                <w:b/>
                <w:bCs/>
                <w:i/>
                <w:iCs/>
                <w:color w:val="A02B93" w:themeColor="accent5"/>
                <w:kern w:val="0"/>
                <w:sz w:val="21"/>
                <w:szCs w:val="21"/>
                <w14:ligatures w14:val="none"/>
              </w:rPr>
            </w:pPr>
            <w:r w:rsidRPr="006A5C10">
              <w:rPr>
                <w:rFonts w:ascii="Times New Roman" w:eastAsia="Calibri" w:hAnsi="Times New Roman" w:cs="Times New Roman"/>
                <w:b/>
                <w:bCs/>
                <w:i/>
                <w:iCs/>
                <w:color w:val="A02B93" w:themeColor="accent5"/>
                <w:spacing w:val="80"/>
                <w:kern w:val="0"/>
                <w:sz w:val="15"/>
                <w:szCs w:val="15"/>
                <w14:ligatures w14:val="none"/>
              </w:rPr>
              <w:t>ABOUT THE AUTHOR</w:t>
            </w:r>
          </w:p>
          <w:p w14:paraId="1DD3EA16" w14:textId="77777777" w:rsidR="003A512F" w:rsidRPr="006A5C10" w:rsidRDefault="003A512F" w:rsidP="003A512F">
            <w:pPr>
              <w:spacing w:after="140" w:line="270" w:lineRule="auto"/>
              <w:rPr>
                <w:rFonts w:ascii="Times New Roman" w:eastAsia="Cambria" w:hAnsi="Times New Roman" w:cs="Times New Roman"/>
                <w:b/>
                <w:bCs/>
                <w:i/>
                <w:iCs/>
                <w:color w:val="A02B93" w:themeColor="accent5"/>
                <w:kern w:val="0"/>
                <w:sz w:val="21"/>
                <w:szCs w:val="21"/>
                <w14:ligatures w14:val="none"/>
              </w:rPr>
            </w:pPr>
            <w:r w:rsidRPr="006A5C10">
              <w:rPr>
                <w:rFonts w:ascii="Times New Roman" w:eastAsia="Calibri" w:hAnsi="Times New Roman" w:cs="Times New Roman"/>
                <w:b/>
                <w:bCs/>
                <w:i/>
                <w:iCs/>
                <w:color w:val="A02B93" w:themeColor="accent5"/>
                <w:kern w:val="0"/>
                <w:sz w:val="19"/>
                <w:szCs w:val="19"/>
                <w14:ligatures w14:val="none"/>
              </w:rPr>
              <w:t>Dr Abdulrazaq Yusuf Ahmed is Director General of the National Social Health Insurance Authority under Somalia’s Federal Ministry of Health and Human Services, Associate Professor of Health Systems Management at Benadir University, and Founder and Chair of the RIYAADA Institute for Leadership &amp; Governance in Mogadishu. His research focuses on universal health coverage, health financing and health system resilience in fragile settings.</w:t>
            </w:r>
          </w:p>
          <w:p w14:paraId="65C80C41" w14:textId="77777777" w:rsidR="003A512F" w:rsidRPr="003A512F" w:rsidRDefault="003A512F" w:rsidP="003A512F">
            <w:pPr>
              <w:spacing w:after="220" w:line="300" w:lineRule="auto"/>
              <w:rPr>
                <w:rFonts w:ascii="Times New Roman" w:eastAsia="Cambria" w:hAnsi="Times New Roman" w:cs="Times New Roman"/>
                <w:color w:val="16222B"/>
                <w:kern w:val="0"/>
                <w:sz w:val="21"/>
                <w:szCs w:val="21"/>
                <w14:ligatures w14:val="none"/>
              </w:rPr>
            </w:pPr>
            <w:r w:rsidRPr="006A5C10">
              <w:rPr>
                <w:rFonts w:ascii="Times New Roman" w:eastAsia="Consolas" w:hAnsi="Times New Roman" w:cs="Times New Roman"/>
                <w:b/>
                <w:bCs/>
                <w:i/>
                <w:iCs/>
                <w:color w:val="A02B93" w:themeColor="accent5"/>
                <w:kern w:val="0"/>
                <w:sz w:val="17"/>
                <w:szCs w:val="17"/>
                <w14:ligatures w14:val="none"/>
              </w:rPr>
              <w:t>ORCID 0000-0002-6985-1087  ·  drjalaaludiin.com</w:t>
            </w:r>
          </w:p>
        </w:tc>
      </w:tr>
    </w:tbl>
    <w:p w14:paraId="3AF8B497" w14:textId="77777777" w:rsidR="003A512F" w:rsidRDefault="003A512F"/>
    <w:sectPr w:rsidR="003A51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Apple Color Emoji">
    <w:panose1 w:val="00000000000000000000"/>
    <w:charset w:val="00"/>
    <w:family w:val="auto"/>
    <w:pitch w:val="variable"/>
    <w:sig w:usb0="00000003" w:usb1="18000000" w:usb2="14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1"/>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2F"/>
    <w:rsid w:val="0030500E"/>
    <w:rsid w:val="003341C9"/>
    <w:rsid w:val="003A512F"/>
    <w:rsid w:val="00590B0B"/>
    <w:rsid w:val="005A0FE7"/>
    <w:rsid w:val="006A5C10"/>
    <w:rsid w:val="00792D2C"/>
    <w:rsid w:val="007C05A1"/>
    <w:rsid w:val="008066F9"/>
    <w:rsid w:val="00BB531B"/>
    <w:rsid w:val="00BD039A"/>
    <w:rsid w:val="00BD08D3"/>
    <w:rsid w:val="00CA4476"/>
    <w:rsid w:val="00CA5EA7"/>
    <w:rsid w:val="00D5348A"/>
    <w:rsid w:val="00F643BD"/>
    <w:rsid w:val="00F852C7"/>
  </w:rsids>
  <m:mathPr>
    <m:mathFont m:val="Cambria Math"/>
    <m:brkBin m:val="before"/>
    <m:brkBinSub m:val="--"/>
    <m:smallFrac m:val="0"/>
    <m:dispDef/>
    <m:lMargin m:val="0"/>
    <m:rMargin m:val="0"/>
    <m:defJc m:val="centerGroup"/>
    <m:wrapIndent m:val="1440"/>
    <m:intLim m:val="subSup"/>
    <m:naryLim m:val="undOvr"/>
  </m:mathPr>
  <w:themeFontLang w:val="en-SO"/>
  <w:clrSchemeMapping w:bg1="light1" w:t1="dark1" w:bg2="light2" w:t2="dark2" w:accent1="accent1" w:accent2="accent2" w:accent3="accent3" w:accent4="accent4" w:accent5="accent5" w:accent6="accent6" w:hyperlink="hyperlink" w:followedHyperlink="followedHyperlink"/>
  <w:decimalSymbol w:val="."/>
  <w:listSeparator w:val=","/>
  <w14:docId w14:val="36B5B03F"/>
  <w15:chartTrackingRefBased/>
  <w15:docId w15:val="{1151BC5E-BCD9-5946-8EE7-D7A6E7F6E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S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1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1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1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1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1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1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1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1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1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1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1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1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1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1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1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12F"/>
    <w:rPr>
      <w:rFonts w:eastAsiaTheme="majorEastAsia" w:cstheme="majorBidi"/>
      <w:color w:val="272727" w:themeColor="text1" w:themeTint="D8"/>
    </w:rPr>
  </w:style>
  <w:style w:type="paragraph" w:styleId="Title">
    <w:name w:val="Title"/>
    <w:basedOn w:val="Normal"/>
    <w:next w:val="Normal"/>
    <w:link w:val="TitleChar"/>
    <w:uiPriority w:val="10"/>
    <w:qFormat/>
    <w:rsid w:val="003A51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1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1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1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12F"/>
    <w:pPr>
      <w:spacing w:before="160"/>
      <w:jc w:val="center"/>
    </w:pPr>
    <w:rPr>
      <w:i/>
      <w:iCs/>
      <w:color w:val="404040" w:themeColor="text1" w:themeTint="BF"/>
    </w:rPr>
  </w:style>
  <w:style w:type="character" w:customStyle="1" w:styleId="QuoteChar">
    <w:name w:val="Quote Char"/>
    <w:basedOn w:val="DefaultParagraphFont"/>
    <w:link w:val="Quote"/>
    <w:uiPriority w:val="29"/>
    <w:rsid w:val="003A512F"/>
    <w:rPr>
      <w:i/>
      <w:iCs/>
      <w:color w:val="404040" w:themeColor="text1" w:themeTint="BF"/>
    </w:rPr>
  </w:style>
  <w:style w:type="paragraph" w:styleId="ListParagraph">
    <w:name w:val="List Paragraph"/>
    <w:basedOn w:val="Normal"/>
    <w:uiPriority w:val="34"/>
    <w:qFormat/>
    <w:rsid w:val="003A512F"/>
    <w:pPr>
      <w:ind w:left="720"/>
      <w:contextualSpacing/>
    </w:pPr>
  </w:style>
  <w:style w:type="character" w:styleId="IntenseEmphasis">
    <w:name w:val="Intense Emphasis"/>
    <w:basedOn w:val="DefaultParagraphFont"/>
    <w:uiPriority w:val="21"/>
    <w:qFormat/>
    <w:rsid w:val="003A512F"/>
    <w:rPr>
      <w:i/>
      <w:iCs/>
      <w:color w:val="0F4761" w:themeColor="accent1" w:themeShade="BF"/>
    </w:rPr>
  </w:style>
  <w:style w:type="paragraph" w:styleId="IntenseQuote">
    <w:name w:val="Intense Quote"/>
    <w:basedOn w:val="Normal"/>
    <w:next w:val="Normal"/>
    <w:link w:val="IntenseQuoteChar"/>
    <w:uiPriority w:val="30"/>
    <w:qFormat/>
    <w:rsid w:val="003A51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12F"/>
    <w:rPr>
      <w:i/>
      <w:iCs/>
      <w:color w:val="0F4761" w:themeColor="accent1" w:themeShade="BF"/>
    </w:rPr>
  </w:style>
  <w:style w:type="character" w:styleId="IntenseReference">
    <w:name w:val="Intense Reference"/>
    <w:basedOn w:val="DefaultParagraphFont"/>
    <w:uiPriority w:val="32"/>
    <w:qFormat/>
    <w:rsid w:val="003A51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2844</Words>
  <Characters>16215</Characters>
  <Application>Microsoft Office Word</Application>
  <DocSecurity>0</DocSecurity>
  <Lines>135</Lines>
  <Paragraphs>38</Paragraphs>
  <ScaleCrop>false</ScaleCrop>
  <Company/>
  <LinksUpToDate>false</LinksUpToDate>
  <CharactersWithSpaces>19021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Abdulrazaq Yusuf Ahmed</dc:creator>
  <cp:keywords/>
  <dc:description/>
  <cp:lastModifiedBy>Dr Abdulrazaq Yusuf Ahmed</cp:lastModifiedBy>
  <cp:revision>2</cp:revision>
  <dcterms:created xsi:type="dcterms:W3CDTF">2026-08-05T00:09:00Z</dcterms:created>
  <dcterms:modified xsi:type="dcterms:W3CDTF">2026-08-05T00:09:00Z</dcterms:modified>
</cp:coreProperties>
</file>